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427" w14:textId="77777777" w:rsidR="00D43EFE" w:rsidRPr="00285774" w:rsidRDefault="00D43EFE" w:rsidP="00D43EF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МЕЖДИНЕН ДОКЛАД ЗА ДЕЙНОСТТА НА „РИЪЛ БУЛЛЕНД” АД</w:t>
      </w:r>
    </w:p>
    <w:p w14:paraId="139DB512" w14:textId="77777777" w:rsidR="00D43EFE" w:rsidRPr="00285774" w:rsidRDefault="00D43EFE" w:rsidP="00D43EF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ЗА ПЕРИОДА 01.01.20</w:t>
      </w:r>
      <w:r w:rsidR="00B44A7B">
        <w:rPr>
          <w:rFonts w:ascii="Calibri" w:hAnsi="Calibri" w:cs="Calibri"/>
          <w:b/>
          <w:sz w:val="22"/>
          <w:szCs w:val="22"/>
          <w:lang w:val="ru-RU" w:eastAsia="bg-BG"/>
        </w:rPr>
        <w:t>24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 - </w:t>
      </w:r>
      <w:r w:rsidR="00EA1F0D" w:rsidRPr="00D37BC0">
        <w:rPr>
          <w:rFonts w:ascii="Calibri" w:hAnsi="Calibri" w:cs="Calibri"/>
          <w:b/>
          <w:sz w:val="22"/>
          <w:szCs w:val="22"/>
          <w:lang w:val="ru-RU" w:eastAsia="bg-BG"/>
        </w:rPr>
        <w:t>31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 w:rsidR="00B44A7B">
        <w:rPr>
          <w:rFonts w:ascii="Calibri" w:hAnsi="Calibri" w:cs="Calibri"/>
          <w:b/>
          <w:sz w:val="22"/>
          <w:szCs w:val="22"/>
          <w:lang w:val="bg-BG" w:eastAsia="bg-BG"/>
        </w:rPr>
        <w:t>03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</w:t>
      </w:r>
      <w:r w:rsidR="00494780" w:rsidRPr="00285774">
        <w:rPr>
          <w:rFonts w:ascii="Calibri" w:hAnsi="Calibri" w:cs="Calibri"/>
          <w:b/>
          <w:sz w:val="22"/>
          <w:szCs w:val="22"/>
          <w:lang w:val="ru-RU" w:eastAsia="bg-BG"/>
        </w:rPr>
        <w:t>2</w:t>
      </w:r>
      <w:r w:rsidR="00B44A7B">
        <w:rPr>
          <w:rFonts w:ascii="Calibri" w:hAnsi="Calibri" w:cs="Calibri"/>
          <w:b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</w:t>
      </w:r>
    </w:p>
    <w:p w14:paraId="24383268" w14:textId="77777777" w:rsidR="00D43EFE" w:rsidRPr="00285774" w:rsidRDefault="00D43EFE">
      <w:pPr>
        <w:rPr>
          <w:rFonts w:ascii="Calibri" w:hAnsi="Calibri" w:cs="Calibri"/>
          <w:lang w:val="ru-RU"/>
        </w:rPr>
      </w:pPr>
    </w:p>
    <w:p w14:paraId="1AF28278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>"Риъл Булленд" АД е акционерно дружество, учредено по реда на чл. 163 от Търговския закон на 07.02.2013 г.,</w:t>
      </w:r>
      <w:r w:rsidRPr="00285774">
        <w:rPr>
          <w:rFonts w:ascii="Calibri" w:hAnsi="Calibri" w:cs="Calibri"/>
          <w:sz w:val="22"/>
          <w:szCs w:val="22"/>
          <w:lang w:val="ru-RU" w:eastAsia="bg-BG"/>
        </w:rPr>
        <w:t xml:space="preserve"> 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>вписано в Търговския регистър при Агенция по вписванията с ЕИК 202442058. Дружеството е публично по смисъла на чл.110 от ЗППЦК и е вписано в регистъра на КФН с Решение № 650-ПД от 15.08.2013 г.</w:t>
      </w:r>
    </w:p>
    <w:p w14:paraId="64840265" w14:textId="77777777" w:rsidR="00D35719" w:rsidRPr="00285774" w:rsidRDefault="00D35719" w:rsidP="00D43EFE">
      <w:pPr>
        <w:jc w:val="both"/>
        <w:rPr>
          <w:rFonts w:ascii="Calibri" w:hAnsi="Calibri" w:cs="Calibri"/>
          <w:sz w:val="22"/>
          <w:szCs w:val="22"/>
          <w:lang w:val="ru-RU" w:eastAsia="bg-BG"/>
        </w:rPr>
      </w:pPr>
    </w:p>
    <w:p w14:paraId="375CBD80" w14:textId="77777777" w:rsidR="00282E8C" w:rsidRPr="00282E8C" w:rsidRDefault="00D43EFE" w:rsidP="00D43EFE">
      <w:pPr>
        <w:jc w:val="both"/>
        <w:rPr>
          <w:rFonts w:ascii="Calibri" w:hAnsi="Calibri" w:cs="Calibri"/>
          <w:sz w:val="22"/>
          <w:szCs w:val="22"/>
          <w:u w:val="single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Седалище и адрес на управление - Република България - гр.</w:t>
      </w:r>
      <w:r w:rsidR="008162BA"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 xml:space="preserve"> </w:t>
      </w: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 xml:space="preserve">София - 1164, район </w:t>
      </w:r>
      <w:r w:rsidR="00282E8C" w:rsidRPr="00282E8C">
        <w:rPr>
          <w:rFonts w:ascii="Calibri" w:hAnsi="Calibri" w:cs="Calibri"/>
          <w:sz w:val="22"/>
          <w:szCs w:val="22"/>
          <w:u w:val="single"/>
          <w:lang w:val="bg-BG" w:eastAsia="bg-BG"/>
        </w:rPr>
        <w:t xml:space="preserve"> Триадица, ул. Алабин № 36, ет.4</w:t>
      </w:r>
    </w:p>
    <w:p w14:paraId="7BDEA50C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u w:val="single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Правна форма - Акционерно дружество</w:t>
      </w:r>
    </w:p>
    <w:p w14:paraId="276EBD7D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Законодателство, според което емитентът упражнява дейността си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 – българско</w:t>
      </w:r>
    </w:p>
    <w:p w14:paraId="5E682F43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Държава на регистрация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 – Република България</w:t>
      </w:r>
    </w:p>
    <w:p w14:paraId="5DEA08C9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Телефон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 – </w:t>
      </w:r>
      <w:r w:rsidR="00B8600A" w:rsidRPr="00285774">
        <w:rPr>
          <w:rFonts w:ascii="Calibri" w:hAnsi="Calibri" w:cs="Calibri"/>
          <w:sz w:val="22"/>
          <w:szCs w:val="22"/>
          <w:lang w:val="bg-BG" w:eastAsia="bg-BG"/>
        </w:rPr>
        <w:t>+359 88 8906450</w:t>
      </w:r>
    </w:p>
    <w:p w14:paraId="765FF2FD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Електронен адрес (e-mail)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 – office@realbulland.eu</w:t>
      </w:r>
    </w:p>
    <w:p w14:paraId="59F9CA4C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Електронна страница в Интернет (web-site) -</w:t>
      </w:r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http://www.realbulland.eu </w:t>
      </w:r>
    </w:p>
    <w:p w14:paraId="5ED29F26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</w:p>
    <w:p w14:paraId="513050F7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има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едностепенна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система на управление и се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управлява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съвет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директорите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>.</w:t>
      </w:r>
    </w:p>
    <w:p w14:paraId="459EFD9B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представлява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от </w:t>
      </w:r>
      <w:r w:rsidRPr="00692EAA">
        <w:rPr>
          <w:rFonts w:ascii="Calibri" w:hAnsi="Calibri" w:cs="Calibri"/>
          <w:sz w:val="22"/>
          <w:szCs w:val="22"/>
          <w:lang w:val="bg-BG"/>
        </w:rPr>
        <w:t>Валентин Георгиев Стоилов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-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изпълнителен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директор </w:t>
      </w:r>
    </w:p>
    <w:p w14:paraId="7F73F008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Към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EF34D6" w:rsidRPr="00692EAA">
        <w:rPr>
          <w:rFonts w:ascii="Calibri" w:hAnsi="Calibri" w:cs="Calibri"/>
          <w:sz w:val="22"/>
          <w:szCs w:val="22"/>
          <w:lang w:val="ru-RU"/>
        </w:rPr>
        <w:t>3</w:t>
      </w:r>
      <w:r w:rsidR="004940BA">
        <w:rPr>
          <w:rFonts w:ascii="Calibri" w:hAnsi="Calibri" w:cs="Calibri"/>
          <w:sz w:val="22"/>
          <w:szCs w:val="22"/>
          <w:lang w:val="ru-RU"/>
        </w:rPr>
        <w:t>1</w:t>
      </w:r>
      <w:r w:rsidR="00EF34D6"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5A1370">
        <w:rPr>
          <w:rFonts w:ascii="Calibri" w:hAnsi="Calibri" w:cs="Calibri"/>
          <w:sz w:val="22"/>
          <w:szCs w:val="22"/>
          <w:lang w:val="ru-RU"/>
        </w:rPr>
        <w:t>март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202</w:t>
      </w:r>
      <w:r w:rsidR="005A1370">
        <w:rPr>
          <w:rFonts w:ascii="Calibri" w:hAnsi="Calibri" w:cs="Calibri"/>
          <w:sz w:val="22"/>
          <w:szCs w:val="22"/>
          <w:lang w:val="ru-RU"/>
        </w:rPr>
        <w:t>4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г. </w:t>
      </w:r>
      <w:proofErr w:type="gramStart"/>
      <w:r w:rsidRPr="00692EAA">
        <w:rPr>
          <w:rFonts w:ascii="Calibri" w:hAnsi="Calibri" w:cs="Calibri"/>
          <w:sz w:val="22"/>
          <w:szCs w:val="22"/>
          <w:lang w:val="ru-RU"/>
        </w:rPr>
        <w:t>и  31</w:t>
      </w:r>
      <w:proofErr w:type="gram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декември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202</w:t>
      </w:r>
      <w:r w:rsidR="005A1370">
        <w:rPr>
          <w:rFonts w:ascii="Calibri" w:hAnsi="Calibri" w:cs="Calibri"/>
          <w:sz w:val="22"/>
          <w:szCs w:val="22"/>
          <w:lang w:val="ru-RU"/>
        </w:rPr>
        <w:t>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г.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членовете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съвета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директорите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както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</w:p>
    <w:p w14:paraId="1DCC631C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следва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>:</w:t>
      </w:r>
    </w:p>
    <w:p w14:paraId="4502FAEB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692EAA">
        <w:rPr>
          <w:rFonts w:ascii="Calibri" w:hAnsi="Calibri" w:cs="Calibri"/>
          <w:sz w:val="22"/>
          <w:szCs w:val="22"/>
          <w:lang w:val="ru-RU"/>
        </w:rPr>
        <w:t xml:space="preserve">• </w:t>
      </w:r>
      <w:r w:rsidRPr="00692EAA">
        <w:rPr>
          <w:rFonts w:ascii="Calibri" w:hAnsi="Calibri" w:cs="Calibri"/>
          <w:sz w:val="22"/>
          <w:szCs w:val="22"/>
          <w:lang w:val="bg-BG"/>
        </w:rPr>
        <w:t>Валентин Георгиев Стоилов</w:t>
      </w:r>
      <w:r w:rsidRPr="00692EAA">
        <w:rPr>
          <w:rFonts w:ascii="Calibri" w:hAnsi="Calibri" w:cs="Calibri"/>
          <w:sz w:val="22"/>
          <w:szCs w:val="22"/>
          <w:lang w:val="ru-RU"/>
        </w:rPr>
        <w:t>;</w:t>
      </w:r>
    </w:p>
    <w:p w14:paraId="1E60E9BB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692EAA">
        <w:rPr>
          <w:rFonts w:ascii="Calibri" w:hAnsi="Calibri" w:cs="Calibri"/>
          <w:sz w:val="22"/>
          <w:szCs w:val="22"/>
          <w:lang w:val="ru-RU"/>
        </w:rPr>
        <w:t xml:space="preserve">• </w:t>
      </w:r>
      <w:r w:rsidRPr="00692EAA">
        <w:rPr>
          <w:rFonts w:ascii="Calibri" w:hAnsi="Calibri" w:cs="Calibri"/>
          <w:sz w:val="22"/>
          <w:szCs w:val="22"/>
          <w:lang w:val="bg-BG"/>
        </w:rPr>
        <w:t>Пеци Дечев Пецев</w:t>
      </w:r>
      <w:r w:rsidRPr="00692EAA">
        <w:rPr>
          <w:rFonts w:ascii="Calibri" w:hAnsi="Calibri" w:cs="Calibri"/>
          <w:sz w:val="22"/>
          <w:szCs w:val="22"/>
          <w:lang w:val="ru-RU"/>
        </w:rPr>
        <w:t>;</w:t>
      </w:r>
    </w:p>
    <w:p w14:paraId="06F3750B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692EAA">
        <w:rPr>
          <w:rFonts w:ascii="Calibri" w:hAnsi="Calibri" w:cs="Calibri"/>
          <w:sz w:val="22"/>
          <w:szCs w:val="22"/>
          <w:lang w:val="ru-RU"/>
        </w:rPr>
        <w:t xml:space="preserve">• </w:t>
      </w:r>
      <w:r w:rsidRPr="00692EAA">
        <w:rPr>
          <w:rFonts w:ascii="Calibri" w:hAnsi="Calibri" w:cs="Calibri"/>
          <w:sz w:val="22"/>
          <w:szCs w:val="22"/>
          <w:lang w:val="bg-BG"/>
        </w:rPr>
        <w:t>Михаела Бориславова Михова</w:t>
      </w:r>
      <w:r w:rsidRPr="00692EAA">
        <w:rPr>
          <w:rFonts w:ascii="Calibri" w:hAnsi="Calibri" w:cs="Calibri"/>
          <w:sz w:val="22"/>
          <w:szCs w:val="22"/>
          <w:lang w:val="ru-RU"/>
        </w:rPr>
        <w:t>;</w:t>
      </w:r>
    </w:p>
    <w:p w14:paraId="44DDCCC3" w14:textId="77777777" w:rsidR="0056219E" w:rsidRPr="00692EAA" w:rsidRDefault="0056219E" w:rsidP="001C43C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14:paraId="0C051D4D" w14:textId="77777777" w:rsidR="001C43CC" w:rsidRPr="0059353F" w:rsidRDefault="001C43CC" w:rsidP="001C43CC">
      <w:pPr>
        <w:jc w:val="both"/>
        <w:rPr>
          <w:rFonts w:ascii="Calibri" w:hAnsi="Calibri" w:cs="Calibri"/>
          <w:sz w:val="22"/>
          <w:szCs w:val="22"/>
          <w:lang w:val="bg-BG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има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регистриран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акционерен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капитал в размер на </w:t>
      </w:r>
      <w:r w:rsidR="00E86402">
        <w:rPr>
          <w:rFonts w:ascii="Calibri" w:hAnsi="Calibri" w:cs="Calibri"/>
          <w:sz w:val="22"/>
          <w:szCs w:val="22"/>
          <w:lang w:val="ru-RU"/>
        </w:rPr>
        <w:t>8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0</w:t>
      </w:r>
      <w:r w:rsidR="00E86402">
        <w:rPr>
          <w:rFonts w:ascii="Calibri" w:hAnsi="Calibri" w:cs="Calibri"/>
          <w:sz w:val="22"/>
          <w:szCs w:val="22"/>
          <w:lang w:val="ru-RU"/>
        </w:rPr>
        <w:t>5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0 </w:t>
      </w:r>
      <w:r w:rsidR="00E86402">
        <w:rPr>
          <w:rFonts w:ascii="Calibri" w:hAnsi="Calibri" w:cs="Calibri"/>
          <w:sz w:val="22"/>
          <w:szCs w:val="22"/>
          <w:lang w:val="ru-RU"/>
        </w:rPr>
        <w:t>613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лева (202</w:t>
      </w:r>
      <w:r w:rsidR="00CC789F">
        <w:rPr>
          <w:rFonts w:ascii="Calibri" w:hAnsi="Calibri" w:cs="Calibri"/>
          <w:sz w:val="22"/>
          <w:szCs w:val="22"/>
          <w:lang w:val="ru-RU"/>
        </w:rPr>
        <w:t>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692EAA">
        <w:rPr>
          <w:rFonts w:ascii="Calibri" w:hAnsi="Calibri" w:cs="Calibri"/>
          <w:sz w:val="22"/>
          <w:szCs w:val="22"/>
          <w:lang w:val="ru-RU"/>
        </w:rPr>
        <w:t>г. :</w:t>
      </w:r>
      <w:proofErr w:type="gramEnd"/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CC789F">
        <w:rPr>
          <w:rFonts w:ascii="Calibri" w:hAnsi="Calibri" w:cs="Calibri"/>
          <w:sz w:val="22"/>
          <w:szCs w:val="22"/>
          <w:lang w:val="ru-RU"/>
        </w:rPr>
        <w:t>8</w:t>
      </w:r>
      <w:r w:rsidR="00CC789F" w:rsidRPr="00692EAA">
        <w:rPr>
          <w:rFonts w:ascii="Calibri" w:hAnsi="Calibri" w:cs="Calibri"/>
          <w:sz w:val="22"/>
          <w:szCs w:val="22"/>
          <w:lang w:val="ru-RU"/>
        </w:rPr>
        <w:t xml:space="preserve"> 0</w:t>
      </w:r>
      <w:r w:rsidR="00CC789F">
        <w:rPr>
          <w:rFonts w:ascii="Calibri" w:hAnsi="Calibri" w:cs="Calibri"/>
          <w:sz w:val="22"/>
          <w:szCs w:val="22"/>
          <w:lang w:val="ru-RU"/>
        </w:rPr>
        <w:t>5</w:t>
      </w:r>
      <w:r w:rsidR="00CC789F" w:rsidRPr="00692EAA">
        <w:rPr>
          <w:rFonts w:ascii="Calibri" w:hAnsi="Calibri" w:cs="Calibri"/>
          <w:sz w:val="22"/>
          <w:szCs w:val="22"/>
          <w:lang w:val="ru-RU"/>
        </w:rPr>
        <w:t xml:space="preserve">0 </w:t>
      </w:r>
      <w:r w:rsidR="00CC789F">
        <w:rPr>
          <w:rFonts w:ascii="Calibri" w:hAnsi="Calibri" w:cs="Calibri"/>
          <w:sz w:val="22"/>
          <w:szCs w:val="22"/>
          <w:lang w:val="ru-RU"/>
        </w:rPr>
        <w:t>613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лева),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разпределен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в </w:t>
      </w:r>
      <w:r w:rsidR="00E86402">
        <w:rPr>
          <w:rFonts w:ascii="Calibri" w:hAnsi="Calibri" w:cs="Calibri"/>
          <w:sz w:val="22"/>
          <w:szCs w:val="22"/>
          <w:lang w:val="ru-RU"/>
        </w:rPr>
        <w:t>8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0</w:t>
      </w:r>
      <w:r w:rsidR="00E86402">
        <w:rPr>
          <w:rFonts w:ascii="Calibri" w:hAnsi="Calibri" w:cs="Calibri"/>
          <w:sz w:val="22"/>
          <w:szCs w:val="22"/>
          <w:lang w:val="ru-RU"/>
        </w:rPr>
        <w:t>5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0 </w:t>
      </w:r>
      <w:r w:rsidR="00E86402">
        <w:rPr>
          <w:rFonts w:ascii="Calibri" w:hAnsi="Calibri" w:cs="Calibri"/>
          <w:sz w:val="22"/>
          <w:szCs w:val="22"/>
          <w:lang w:val="ru-RU"/>
        </w:rPr>
        <w:t>613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(202</w:t>
      </w:r>
      <w:r w:rsidR="00CC789F">
        <w:rPr>
          <w:rFonts w:ascii="Calibri" w:hAnsi="Calibri" w:cs="Calibri"/>
          <w:sz w:val="22"/>
          <w:szCs w:val="22"/>
          <w:lang w:val="ru-RU"/>
        </w:rPr>
        <w:t>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г.: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CC789F">
        <w:rPr>
          <w:rFonts w:ascii="Calibri" w:hAnsi="Calibri" w:cs="Calibri"/>
          <w:sz w:val="22"/>
          <w:szCs w:val="22"/>
          <w:lang w:val="ru-RU"/>
        </w:rPr>
        <w:t>8</w:t>
      </w:r>
      <w:r w:rsidR="00CC789F" w:rsidRPr="00692EAA">
        <w:rPr>
          <w:rFonts w:ascii="Calibri" w:hAnsi="Calibri" w:cs="Calibri"/>
          <w:sz w:val="22"/>
          <w:szCs w:val="22"/>
          <w:lang w:val="ru-RU"/>
        </w:rPr>
        <w:t xml:space="preserve"> 0</w:t>
      </w:r>
      <w:r w:rsidR="00CC789F">
        <w:rPr>
          <w:rFonts w:ascii="Calibri" w:hAnsi="Calibri" w:cs="Calibri"/>
          <w:sz w:val="22"/>
          <w:szCs w:val="22"/>
          <w:lang w:val="ru-RU"/>
        </w:rPr>
        <w:t>5</w:t>
      </w:r>
      <w:r w:rsidR="00CC789F" w:rsidRPr="00692EAA">
        <w:rPr>
          <w:rFonts w:ascii="Calibri" w:hAnsi="Calibri" w:cs="Calibri"/>
          <w:sz w:val="22"/>
          <w:szCs w:val="22"/>
          <w:lang w:val="ru-RU"/>
        </w:rPr>
        <w:t xml:space="preserve">0 </w:t>
      </w:r>
      <w:r w:rsidR="00CC789F">
        <w:rPr>
          <w:rFonts w:ascii="Calibri" w:hAnsi="Calibri" w:cs="Calibri"/>
          <w:sz w:val="22"/>
          <w:szCs w:val="22"/>
          <w:lang w:val="ru-RU"/>
        </w:rPr>
        <w:t>613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)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обикновени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безналични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поименни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акции с право на един глас в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общото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събрание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акционерите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и с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номинална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стойност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1 лев всяка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една</w:t>
      </w:r>
      <w:proofErr w:type="spellEnd"/>
      <w:r w:rsidR="0059353F">
        <w:rPr>
          <w:rFonts w:ascii="Calibri" w:hAnsi="Calibri" w:cs="Calibri"/>
          <w:sz w:val="22"/>
          <w:szCs w:val="22"/>
          <w:lang w:val="bg-BG"/>
        </w:rPr>
        <w:t>.</w:t>
      </w:r>
    </w:p>
    <w:p w14:paraId="3B41B8E3" w14:textId="77777777" w:rsidR="00FE396A" w:rsidRPr="00692EAA" w:rsidRDefault="00FE396A" w:rsidP="00FE396A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14:paraId="635EB2DB" w14:textId="77777777" w:rsidR="00522CCE" w:rsidRPr="00522CCE" w:rsidRDefault="00522CCE" w:rsidP="00522CC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През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отчетния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период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бяха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представени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в КФН, БФБ и на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обществеността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междинен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финансов отчет за 4-то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тримесечие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202</w:t>
      </w:r>
      <w:r>
        <w:rPr>
          <w:rFonts w:ascii="Calibri" w:hAnsi="Calibri" w:cs="Calibri"/>
          <w:sz w:val="22"/>
          <w:szCs w:val="22"/>
          <w:lang w:val="ru-RU"/>
        </w:rPr>
        <w:t>3</w:t>
      </w:r>
      <w:r w:rsidRPr="00522CCE">
        <w:rPr>
          <w:rFonts w:ascii="Calibri" w:hAnsi="Calibri" w:cs="Calibri"/>
          <w:sz w:val="22"/>
          <w:szCs w:val="22"/>
          <w:lang w:val="ru-RU"/>
        </w:rPr>
        <w:t xml:space="preserve"> г.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съгласно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изискванията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на чл.100о от ЗППЦК/ДВ,бр.42 от 2016 г./ и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годишният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финансов отчет за 202</w:t>
      </w:r>
      <w:r>
        <w:rPr>
          <w:rFonts w:ascii="Calibri" w:hAnsi="Calibri" w:cs="Calibri"/>
          <w:sz w:val="22"/>
          <w:szCs w:val="22"/>
          <w:lang w:val="ru-RU"/>
        </w:rPr>
        <w:t>3</w:t>
      </w:r>
      <w:r w:rsidRPr="00522CCE">
        <w:rPr>
          <w:rFonts w:ascii="Calibri" w:hAnsi="Calibri" w:cs="Calibri"/>
          <w:sz w:val="22"/>
          <w:szCs w:val="22"/>
          <w:lang w:val="ru-RU"/>
        </w:rPr>
        <w:t xml:space="preserve"> г. заверен от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регистриран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одитор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. </w:t>
      </w:r>
    </w:p>
    <w:p w14:paraId="430065F5" w14:textId="77777777" w:rsidR="00522CCE" w:rsidRDefault="00522CCE" w:rsidP="00282E8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14:paraId="01543F26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  <w:proofErr w:type="spellStart"/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Инвестиционна</w:t>
      </w:r>
      <w:proofErr w:type="spellEnd"/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 стратегия и цели на </w:t>
      </w:r>
      <w:proofErr w:type="spellStart"/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дружеството</w:t>
      </w:r>
      <w:proofErr w:type="spellEnd"/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:</w:t>
      </w:r>
    </w:p>
    <w:p w14:paraId="180751CD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дългосрочно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инвестиране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набраните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средства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която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използва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за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производство;</w:t>
      </w:r>
    </w:p>
    <w:p w14:paraId="6BD9D367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окрупняване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придобитите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 цел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повишаване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тяхната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стойност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атрактивност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;</w:t>
      </w:r>
    </w:p>
    <w:p w14:paraId="1E900906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отдаване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придобитите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gram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под аренда</w:t>
      </w:r>
      <w:proofErr w:type="gram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или наем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големи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производители;</w:t>
      </w:r>
    </w:p>
    <w:p w14:paraId="16B6EAF2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- </w:t>
      </w: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активно управление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придобитите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изразяващо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се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избиране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подходящ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момент за </w:t>
      </w:r>
      <w:proofErr w:type="spellStart"/>
      <w:proofErr w:type="gram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тяхната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продажба</w:t>
      </w:r>
      <w:proofErr w:type="spellEnd"/>
      <w:proofErr w:type="gram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или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замяна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;</w:t>
      </w:r>
    </w:p>
    <w:p w14:paraId="02600F7F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създаване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диференциран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портфейл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различни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региони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страната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 от различен тип;</w:t>
      </w:r>
    </w:p>
    <w:p w14:paraId="3A3F3CD9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отделни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случаи и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други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недвижими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свързани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със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производство;</w:t>
      </w:r>
    </w:p>
    <w:p w14:paraId="270E3624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придобиваване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недвижими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несвързани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със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производство (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включително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, но не само</w:t>
      </w:r>
      <w:r w:rsidR="008162BA" w:rsidRPr="00285774">
        <w:rPr>
          <w:rFonts w:ascii="Calibri" w:hAnsi="Calibri" w:cs="Calibri"/>
          <w:bCs/>
          <w:sz w:val="22"/>
          <w:szCs w:val="22"/>
          <w:lang w:val="ru-RU" w:eastAsia="bg-BG"/>
        </w:rPr>
        <w:t>,</w:t>
      </w: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жилищни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офиси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магазини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 парцели) с цел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отдаването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им по под наем, лизинг или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продажбата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им;</w:t>
      </w:r>
    </w:p>
    <w:p w14:paraId="673FBD5F" w14:textId="77777777" w:rsidR="00D43EFE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строителство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сгради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върху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 цел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дългосрочно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отдаване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под наем или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продажба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включително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чрез лизинг.</w:t>
      </w:r>
    </w:p>
    <w:p w14:paraId="1350CB7E" w14:textId="77777777" w:rsidR="000754B0" w:rsidRPr="00285774" w:rsidRDefault="000754B0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</w:p>
    <w:p w14:paraId="1D9B5C6B" w14:textId="77777777" w:rsidR="00E41C58" w:rsidRPr="00285774" w:rsidRDefault="00E41C58" w:rsidP="00E41C58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lastRenderedPageBreak/>
        <w:t>1. ПРЕГЛЕД НА ДЕЙНОСТТА</w:t>
      </w:r>
    </w:p>
    <w:p w14:paraId="6C353ED3" w14:textId="77777777" w:rsidR="00EB2CBD" w:rsidRDefault="00EB2CBD" w:rsidP="00FC35C0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51B80935" w14:textId="77777777" w:rsidR="00EB2CBD" w:rsidRPr="00EB2CBD" w:rsidRDefault="00EB2CBD" w:rsidP="00EB2CBD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EB2CBD">
        <w:rPr>
          <w:rFonts w:ascii="Calibri" w:hAnsi="Calibri" w:cs="Calibri"/>
          <w:sz w:val="22"/>
          <w:szCs w:val="22"/>
          <w:lang w:val="bg-BG"/>
        </w:rPr>
        <w:t>През отчетния период военниите конфликти в Украйна и Израел оказаха значително въздействие върху световната икономика по различни начини, свързани главно с цените на енергийните ресурси,  , което оказва влияние и на основните суровини за селското стопанство - торове, горива, семена.</w:t>
      </w:r>
    </w:p>
    <w:p w14:paraId="1C46071B" w14:textId="77777777" w:rsidR="00EB2CBD" w:rsidRPr="00EB2CBD" w:rsidRDefault="00EB2CBD" w:rsidP="00EB2CBD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EB2CBD">
        <w:rPr>
          <w:rFonts w:ascii="Calibri" w:hAnsi="Calibri" w:cs="Calibri"/>
          <w:sz w:val="22"/>
          <w:szCs w:val="22"/>
          <w:lang w:val="bg-BG"/>
        </w:rPr>
        <w:t>Тези събития и в частност инфлацията, определяща и актуалните цени на поземлените имоти през отчетния период, оказаха също негативно влияние върху инвестиционната му дейност, доколкото през текущата година имаше значително  покачване на цените на земеделските имоти.</w:t>
      </w:r>
    </w:p>
    <w:p w14:paraId="458B49E9" w14:textId="77777777" w:rsidR="00EB2CBD" w:rsidRPr="00EB2CBD" w:rsidRDefault="00EB2CBD" w:rsidP="00EB2CBD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0B9F44D7" w14:textId="77777777" w:rsidR="00EB2CBD" w:rsidRPr="00EB2CBD" w:rsidRDefault="00EB2CBD" w:rsidP="00EB2CBD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EB2CBD">
        <w:rPr>
          <w:rFonts w:ascii="Calibri" w:hAnsi="Calibri" w:cs="Calibri"/>
          <w:sz w:val="22"/>
          <w:szCs w:val="22"/>
          <w:lang w:val="bg-BG"/>
        </w:rPr>
        <w:t>Независимо от това, в резултат на увеличаване относителния дял на земеделски земи в общия портфейл на инвестиционните имоти, както и активното управление на имотите, пазарната стойност на земеделските земи към 31.</w:t>
      </w:r>
      <w:r>
        <w:rPr>
          <w:rFonts w:ascii="Calibri" w:hAnsi="Calibri" w:cs="Calibri"/>
          <w:sz w:val="22"/>
          <w:szCs w:val="22"/>
          <w:lang w:val="bg-BG"/>
        </w:rPr>
        <w:t>03</w:t>
      </w:r>
      <w:r w:rsidRPr="00EB2CBD">
        <w:rPr>
          <w:rFonts w:ascii="Calibri" w:hAnsi="Calibri" w:cs="Calibri"/>
          <w:sz w:val="22"/>
          <w:szCs w:val="22"/>
          <w:lang w:val="bg-BG"/>
        </w:rPr>
        <w:t>.202</w:t>
      </w:r>
      <w:r>
        <w:rPr>
          <w:rFonts w:ascii="Calibri" w:hAnsi="Calibri" w:cs="Calibri"/>
          <w:sz w:val="22"/>
          <w:szCs w:val="22"/>
          <w:lang w:val="bg-BG"/>
        </w:rPr>
        <w:t>4</w:t>
      </w:r>
      <w:r w:rsidRPr="00EB2CBD">
        <w:rPr>
          <w:rFonts w:ascii="Calibri" w:hAnsi="Calibri" w:cs="Calibri"/>
          <w:sz w:val="22"/>
          <w:szCs w:val="22"/>
          <w:lang w:val="bg-BG"/>
        </w:rPr>
        <w:t xml:space="preserve">г. е в размер на 7 </w:t>
      </w:r>
      <w:r>
        <w:rPr>
          <w:rFonts w:ascii="Calibri" w:hAnsi="Calibri" w:cs="Calibri"/>
          <w:sz w:val="22"/>
          <w:szCs w:val="22"/>
          <w:lang w:val="bg-BG"/>
        </w:rPr>
        <w:t>370</w:t>
      </w:r>
      <w:r w:rsidRPr="00EB2CBD">
        <w:rPr>
          <w:rFonts w:ascii="Calibri" w:hAnsi="Calibri" w:cs="Calibri"/>
          <w:sz w:val="22"/>
          <w:szCs w:val="22"/>
          <w:lang w:val="bg-BG"/>
        </w:rPr>
        <w:t xml:space="preserve"> хил. лв</w:t>
      </w:r>
      <w:r>
        <w:rPr>
          <w:rFonts w:ascii="Calibri" w:hAnsi="Calibri" w:cs="Calibri"/>
          <w:sz w:val="22"/>
          <w:szCs w:val="22"/>
          <w:lang w:val="bg-BG"/>
        </w:rPr>
        <w:t>.</w:t>
      </w:r>
      <w:r w:rsidRPr="00EB2CBD">
        <w:rPr>
          <w:rFonts w:ascii="Calibri" w:hAnsi="Calibri" w:cs="Calibri"/>
          <w:sz w:val="22"/>
          <w:szCs w:val="22"/>
          <w:lang w:val="bg-BG"/>
        </w:rPr>
        <w:t xml:space="preserve"> </w:t>
      </w:r>
    </w:p>
    <w:p w14:paraId="7820B3BC" w14:textId="77777777" w:rsidR="0039099B" w:rsidRPr="00285774" w:rsidRDefault="0039099B" w:rsidP="000509FC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199C2604" w14:textId="77777777" w:rsidR="00D43EFE" w:rsidRPr="00285774" w:rsidRDefault="00D43EFE" w:rsidP="00E41C58">
      <w:pPr>
        <w:numPr>
          <w:ilvl w:val="0"/>
          <w:numId w:val="12"/>
        </w:num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Инвестиционна дейност през</w:t>
      </w:r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 01.01.20</w:t>
      </w:r>
      <w:r w:rsidR="0099377D"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2</w:t>
      </w:r>
      <w:r w:rsidR="00EB2CBD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г – 3</w:t>
      </w:r>
      <w:r w:rsidR="001049B7">
        <w:rPr>
          <w:rFonts w:ascii="Calibri" w:hAnsi="Calibri" w:cs="Calibri"/>
          <w:b/>
          <w:bCs/>
          <w:sz w:val="22"/>
          <w:szCs w:val="22"/>
          <w:lang w:val="bg-BG" w:eastAsia="bg-BG"/>
        </w:rPr>
        <w:t>1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EB2CBD">
        <w:rPr>
          <w:rFonts w:ascii="Calibri" w:hAnsi="Calibri" w:cs="Calibri"/>
          <w:b/>
          <w:bCs/>
          <w:sz w:val="22"/>
          <w:szCs w:val="22"/>
          <w:lang w:val="ru-RU" w:eastAsia="bg-BG"/>
        </w:rPr>
        <w:t>03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99377D"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2</w:t>
      </w:r>
      <w:r w:rsidR="00EB2CBD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г.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покупки и продажби на недвижими имоти.</w:t>
      </w:r>
    </w:p>
    <w:p w14:paraId="166B1E87" w14:textId="77777777" w:rsidR="00D43EFE" w:rsidRPr="00285774" w:rsidRDefault="00D43EFE" w:rsidP="00D43EFE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</w:p>
    <w:p w14:paraId="267EE7ED" w14:textId="77777777" w:rsidR="00BC6CE0" w:rsidRPr="00285774" w:rsidRDefault="00BC6CE0" w:rsidP="00AA2526">
      <w:pPr>
        <w:jc w:val="both"/>
        <w:rPr>
          <w:rFonts w:ascii="Calibri" w:hAnsi="Calibri" w:cs="Calibri"/>
          <w:b/>
          <w:sz w:val="22"/>
          <w:szCs w:val="22"/>
          <w:lang w:val="bg-BG"/>
        </w:rPr>
      </w:pPr>
      <w:r w:rsidRPr="00285774">
        <w:rPr>
          <w:rFonts w:ascii="Calibri" w:hAnsi="Calibri" w:cs="Calibri"/>
          <w:b/>
          <w:sz w:val="22"/>
          <w:szCs w:val="22"/>
          <w:lang w:val="bg-BG"/>
        </w:rPr>
        <w:t xml:space="preserve">Придобити инвестиционни имоти земеделски земи през 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периода 01.01.202</w:t>
      </w:r>
      <w:r w:rsidR="00EB2CBD">
        <w:rPr>
          <w:rFonts w:ascii="Calibri" w:hAnsi="Calibri" w:cs="Calibri"/>
          <w:b/>
          <w:sz w:val="22"/>
          <w:szCs w:val="22"/>
          <w:lang w:val="ru-RU"/>
        </w:rPr>
        <w:t>4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г. - 3</w:t>
      </w:r>
      <w:r w:rsidR="001049B7">
        <w:rPr>
          <w:rFonts w:ascii="Calibri" w:hAnsi="Calibri" w:cs="Calibri"/>
          <w:b/>
          <w:sz w:val="22"/>
          <w:szCs w:val="22"/>
          <w:lang w:val="ru-RU"/>
        </w:rPr>
        <w:t>1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.</w:t>
      </w:r>
      <w:r w:rsidR="00EB2CBD">
        <w:rPr>
          <w:rFonts w:ascii="Calibri" w:hAnsi="Calibri" w:cs="Calibri"/>
          <w:b/>
          <w:sz w:val="22"/>
          <w:szCs w:val="22"/>
          <w:lang w:val="ru-RU"/>
        </w:rPr>
        <w:t>03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.20</w:t>
      </w:r>
      <w:r w:rsidR="00A86CB2" w:rsidRPr="00285774">
        <w:rPr>
          <w:rFonts w:ascii="Calibri" w:hAnsi="Calibri" w:cs="Calibri"/>
          <w:b/>
          <w:sz w:val="22"/>
          <w:szCs w:val="22"/>
          <w:lang w:val="ru-RU"/>
        </w:rPr>
        <w:t>2</w:t>
      </w:r>
      <w:r w:rsidR="00EB2CBD">
        <w:rPr>
          <w:rFonts w:ascii="Calibri" w:hAnsi="Calibri" w:cs="Calibri"/>
          <w:b/>
          <w:sz w:val="22"/>
          <w:szCs w:val="22"/>
          <w:lang w:val="ru-RU"/>
        </w:rPr>
        <w:t>4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г.</w:t>
      </w:r>
      <w:r w:rsidRPr="00285774">
        <w:rPr>
          <w:rFonts w:ascii="Calibri" w:hAnsi="Calibri" w:cs="Calibri"/>
          <w:b/>
          <w:sz w:val="22"/>
          <w:szCs w:val="22"/>
          <w:lang w:val="bg-BG"/>
        </w:rPr>
        <w:t xml:space="preserve"> :</w:t>
      </w:r>
    </w:p>
    <w:p w14:paraId="6D94427E" w14:textId="09BCA999" w:rsidR="00015EA4" w:rsidRPr="00015EA4" w:rsidRDefault="00015EA4" w:rsidP="00015EA4">
      <w:pPr>
        <w:jc w:val="both"/>
        <w:rPr>
          <w:rFonts w:ascii="Calibri" w:hAnsi="Calibri" w:cs="Calibri"/>
          <w:sz w:val="22"/>
          <w:szCs w:val="22"/>
          <w:lang w:val="bg-BG"/>
        </w:rPr>
      </w:pPr>
      <w:r>
        <w:rPr>
          <w:rFonts w:ascii="Calibri" w:hAnsi="Calibri" w:cs="Calibri"/>
          <w:sz w:val="22"/>
          <w:szCs w:val="22"/>
          <w:lang w:val="bg-BG"/>
        </w:rPr>
        <w:t>Пр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ез месец </w:t>
      </w:r>
      <w:r w:rsidR="00436B13">
        <w:rPr>
          <w:rFonts w:ascii="Calibri" w:hAnsi="Calibri" w:cs="Calibri"/>
          <w:sz w:val="22"/>
          <w:szCs w:val="22"/>
          <w:lang w:val="bg-BG"/>
        </w:rPr>
        <w:t>януари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Дружеството е придобило земеделски земи в</w:t>
      </w:r>
      <w:r>
        <w:rPr>
          <w:rFonts w:ascii="Calibri" w:hAnsi="Calibri" w:cs="Calibri"/>
          <w:sz w:val="22"/>
          <w:szCs w:val="22"/>
          <w:lang w:val="bg-BG"/>
        </w:rPr>
        <w:t xml:space="preserve"> 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землището на 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>с.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436B13" w:rsidRPr="00436B13">
        <w:rPr>
          <w:rFonts w:ascii="Calibri" w:hAnsi="Calibri" w:cs="Calibri"/>
          <w:b/>
          <w:sz w:val="22"/>
          <w:szCs w:val="22"/>
          <w:lang w:val="bg-BG"/>
        </w:rPr>
        <w:t>Новоселец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 xml:space="preserve"> 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в 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 xml:space="preserve">общ. </w:t>
      </w:r>
      <w:r w:rsidR="00436B13">
        <w:rPr>
          <w:rFonts w:ascii="Calibri" w:hAnsi="Calibri" w:cs="Calibri"/>
          <w:b/>
          <w:sz w:val="22"/>
          <w:szCs w:val="22"/>
          <w:lang w:val="bg-BG"/>
        </w:rPr>
        <w:t>Нова Загора, обл.Сливен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sz w:val="22"/>
          <w:szCs w:val="22"/>
          <w:lang w:val="bg-BG"/>
        </w:rPr>
        <w:t>–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436B13">
        <w:rPr>
          <w:rFonts w:ascii="Calibri" w:hAnsi="Calibri" w:cs="Calibri"/>
          <w:b/>
          <w:sz w:val="22"/>
          <w:szCs w:val="22"/>
          <w:lang w:val="bg-BG"/>
        </w:rPr>
        <w:t>6</w:t>
      </w:r>
      <w:r>
        <w:rPr>
          <w:rFonts w:ascii="Calibri" w:hAnsi="Calibri" w:cs="Calibri"/>
          <w:b/>
          <w:sz w:val="22"/>
          <w:szCs w:val="22"/>
          <w:lang w:val="bg-BG"/>
        </w:rPr>
        <w:t>,</w:t>
      </w:r>
      <w:r w:rsidR="00436B13">
        <w:rPr>
          <w:rFonts w:ascii="Calibri" w:hAnsi="Calibri" w:cs="Calibri"/>
          <w:b/>
          <w:sz w:val="22"/>
          <w:szCs w:val="22"/>
          <w:lang w:val="bg-BG"/>
        </w:rPr>
        <w:t>653</w:t>
      </w:r>
      <w:r>
        <w:rPr>
          <w:rFonts w:ascii="Calibri" w:hAnsi="Calibri" w:cs="Calibri"/>
          <w:b/>
          <w:sz w:val="22"/>
          <w:szCs w:val="22"/>
          <w:lang w:val="bg-BG"/>
        </w:rPr>
        <w:t xml:space="preserve"> 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>дка,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sz w:val="22"/>
          <w:szCs w:val="22"/>
          <w:lang w:val="bg-BG"/>
        </w:rPr>
        <w:t xml:space="preserve">и 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землището </w:t>
      </w:r>
      <w:r w:rsidRPr="00506EF3">
        <w:rPr>
          <w:rFonts w:ascii="Calibri" w:hAnsi="Calibri" w:cs="Calibri"/>
          <w:sz w:val="22"/>
          <w:szCs w:val="22"/>
          <w:lang w:val="bg-BG"/>
        </w:rPr>
        <w:t xml:space="preserve">на </w:t>
      </w:r>
      <w:r w:rsidRPr="00506EF3">
        <w:rPr>
          <w:rFonts w:ascii="Calibri" w:hAnsi="Calibri" w:cs="Calibri"/>
          <w:b/>
          <w:sz w:val="22"/>
          <w:szCs w:val="22"/>
          <w:lang w:val="bg-BG"/>
        </w:rPr>
        <w:t>с.</w:t>
      </w:r>
      <w:r w:rsidRPr="00506EF3">
        <w:rPr>
          <w:b/>
          <w:lang w:val="ru-RU"/>
        </w:rPr>
        <w:t xml:space="preserve"> </w:t>
      </w:r>
      <w:r w:rsidR="00436B13" w:rsidRPr="00506EF3">
        <w:rPr>
          <w:rFonts w:ascii="Calibri" w:hAnsi="Calibri" w:cs="Calibri"/>
          <w:b/>
          <w:sz w:val="22"/>
          <w:szCs w:val="22"/>
          <w:lang w:val="bg-BG"/>
        </w:rPr>
        <w:t>Денница</w:t>
      </w:r>
      <w:r w:rsidRPr="00506EF3">
        <w:rPr>
          <w:rFonts w:ascii="Calibri" w:hAnsi="Calibri" w:cs="Calibri"/>
          <w:b/>
          <w:sz w:val="22"/>
          <w:szCs w:val="22"/>
          <w:lang w:val="bg-BG"/>
        </w:rPr>
        <w:t>–</w:t>
      </w:r>
      <w:r w:rsidRPr="00506EF3">
        <w:rPr>
          <w:lang w:val="ru-RU"/>
        </w:rPr>
        <w:t xml:space="preserve"> </w:t>
      </w:r>
      <w:r w:rsidR="00D37BC0" w:rsidRPr="00506EF3">
        <w:rPr>
          <w:rFonts w:ascii="Calibri" w:hAnsi="Calibri" w:cs="Calibri"/>
          <w:b/>
          <w:sz w:val="22"/>
          <w:szCs w:val="22"/>
          <w:lang w:val="ru-RU"/>
        </w:rPr>
        <w:t>97</w:t>
      </w:r>
      <w:r w:rsidRPr="00506EF3">
        <w:rPr>
          <w:rFonts w:ascii="Calibri" w:hAnsi="Calibri" w:cs="Calibri"/>
          <w:b/>
          <w:sz w:val="22"/>
          <w:szCs w:val="22"/>
          <w:lang w:val="bg-BG"/>
        </w:rPr>
        <w:t>,</w:t>
      </w:r>
      <w:r w:rsidR="00D37BC0" w:rsidRPr="00506EF3">
        <w:rPr>
          <w:rFonts w:ascii="Calibri" w:hAnsi="Calibri" w:cs="Calibri"/>
          <w:b/>
          <w:sz w:val="22"/>
          <w:szCs w:val="22"/>
          <w:lang w:val="ru-RU"/>
        </w:rPr>
        <w:t xml:space="preserve">001 </w:t>
      </w:r>
      <w:r w:rsidR="00D37BC0" w:rsidRPr="00506EF3">
        <w:rPr>
          <w:rFonts w:ascii="Calibri" w:hAnsi="Calibri" w:cs="Calibri"/>
          <w:b/>
          <w:sz w:val="22"/>
          <w:szCs w:val="22"/>
          <w:lang w:val="bg-BG"/>
        </w:rPr>
        <w:t>дка</w:t>
      </w:r>
      <w:r w:rsidRPr="00506EF3">
        <w:rPr>
          <w:rFonts w:ascii="Calibri" w:hAnsi="Calibri" w:cs="Calibri"/>
          <w:b/>
          <w:sz w:val="22"/>
          <w:szCs w:val="22"/>
          <w:lang w:val="bg-BG"/>
        </w:rPr>
        <w:t>, общ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 xml:space="preserve">. </w:t>
      </w:r>
      <w:r w:rsidR="00436B13">
        <w:rPr>
          <w:rFonts w:ascii="Calibri" w:hAnsi="Calibri" w:cs="Calibri"/>
          <w:b/>
          <w:sz w:val="22"/>
          <w:szCs w:val="22"/>
          <w:lang w:val="bg-BG"/>
        </w:rPr>
        <w:t>Болярово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>, обл.</w:t>
      </w:r>
      <w:r>
        <w:rPr>
          <w:rFonts w:ascii="Calibri" w:hAnsi="Calibri" w:cs="Calibri"/>
          <w:b/>
          <w:sz w:val="22"/>
          <w:szCs w:val="22"/>
          <w:lang w:val="bg-BG"/>
        </w:rPr>
        <w:t xml:space="preserve"> </w:t>
      </w:r>
      <w:r w:rsidR="005E6A39">
        <w:rPr>
          <w:rFonts w:ascii="Calibri" w:hAnsi="Calibri" w:cs="Calibri"/>
          <w:b/>
          <w:sz w:val="22"/>
          <w:szCs w:val="22"/>
          <w:lang w:val="bg-BG"/>
        </w:rPr>
        <w:t>Ямбол</w:t>
      </w:r>
      <w:r>
        <w:rPr>
          <w:rFonts w:ascii="Calibri" w:hAnsi="Calibri" w:cs="Calibri"/>
          <w:sz w:val="22"/>
          <w:szCs w:val="22"/>
          <w:lang w:val="bg-BG"/>
        </w:rPr>
        <w:t xml:space="preserve">, 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за обща покупна стойност в размер </w:t>
      </w:r>
      <w:r w:rsidRPr="00D37BC0">
        <w:rPr>
          <w:rFonts w:ascii="Calibri" w:hAnsi="Calibri" w:cs="Calibri"/>
          <w:sz w:val="22"/>
          <w:szCs w:val="22"/>
          <w:lang w:val="bg-BG"/>
        </w:rPr>
        <w:t xml:space="preserve">на  </w:t>
      </w:r>
      <w:r w:rsidR="005E6A39" w:rsidRPr="00D37BC0">
        <w:rPr>
          <w:rFonts w:ascii="Calibri" w:hAnsi="Calibri" w:cs="Calibri"/>
          <w:b/>
          <w:sz w:val="22"/>
          <w:szCs w:val="22"/>
          <w:lang w:val="bg-BG"/>
        </w:rPr>
        <w:t>238</w:t>
      </w:r>
      <w:r w:rsidRPr="00D37BC0">
        <w:rPr>
          <w:rFonts w:ascii="Calibri" w:hAnsi="Calibri" w:cs="Calibri"/>
          <w:b/>
          <w:sz w:val="22"/>
          <w:szCs w:val="22"/>
          <w:lang w:val="bg-BG"/>
        </w:rPr>
        <w:t xml:space="preserve"> хил. лв.</w:t>
      </w:r>
    </w:p>
    <w:p w14:paraId="6BC7BBFB" w14:textId="77777777" w:rsidR="001449A7" w:rsidRDefault="001449A7" w:rsidP="00976336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68836EB6" w14:textId="77777777" w:rsidR="00AA2526" w:rsidRPr="00285774" w:rsidRDefault="007930E0" w:rsidP="00976336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360873">
        <w:rPr>
          <w:rFonts w:ascii="Calibri" w:hAnsi="Calibri" w:cs="Calibri"/>
          <w:sz w:val="22"/>
          <w:szCs w:val="22"/>
          <w:lang w:val="bg-BG"/>
        </w:rPr>
        <w:t>Балансовата стойност на инвестиционните имоти притежавани от Дружеството към  3</w:t>
      </w:r>
      <w:r w:rsidR="006A77F9">
        <w:rPr>
          <w:rFonts w:ascii="Calibri" w:hAnsi="Calibri" w:cs="Calibri"/>
          <w:sz w:val="22"/>
          <w:szCs w:val="22"/>
          <w:lang w:val="bg-BG"/>
        </w:rPr>
        <w:t>1</w:t>
      </w:r>
      <w:r w:rsidRPr="00360873">
        <w:rPr>
          <w:rFonts w:ascii="Calibri" w:hAnsi="Calibri" w:cs="Calibri"/>
          <w:sz w:val="22"/>
          <w:szCs w:val="22"/>
          <w:lang w:val="bg-BG"/>
        </w:rPr>
        <w:t>.</w:t>
      </w:r>
      <w:r w:rsidR="005E6A39">
        <w:rPr>
          <w:rFonts w:ascii="Calibri" w:hAnsi="Calibri" w:cs="Calibri"/>
          <w:sz w:val="22"/>
          <w:szCs w:val="22"/>
          <w:lang w:val="bg-BG"/>
        </w:rPr>
        <w:t>03</w:t>
      </w:r>
      <w:r w:rsidRPr="00360873">
        <w:rPr>
          <w:rFonts w:ascii="Calibri" w:hAnsi="Calibri" w:cs="Calibri"/>
          <w:sz w:val="22"/>
          <w:szCs w:val="22"/>
          <w:lang w:val="bg-BG"/>
        </w:rPr>
        <w:t>.202</w:t>
      </w:r>
      <w:r w:rsidR="005E6A39">
        <w:rPr>
          <w:rFonts w:ascii="Calibri" w:hAnsi="Calibri" w:cs="Calibri"/>
          <w:sz w:val="22"/>
          <w:szCs w:val="22"/>
          <w:lang w:val="bg-BG"/>
        </w:rPr>
        <w:t>4</w:t>
      </w:r>
      <w:r w:rsidRPr="00360873">
        <w:rPr>
          <w:rFonts w:ascii="Calibri" w:hAnsi="Calibri" w:cs="Calibri"/>
          <w:sz w:val="22"/>
          <w:szCs w:val="22"/>
          <w:lang w:val="bg-BG"/>
        </w:rPr>
        <w:t xml:space="preserve">г. </w:t>
      </w:r>
      <w:r w:rsidR="00976336" w:rsidRPr="00360873">
        <w:rPr>
          <w:rFonts w:ascii="Calibri" w:hAnsi="Calibri" w:cs="Calibri"/>
          <w:sz w:val="22"/>
          <w:szCs w:val="22"/>
          <w:lang w:val="bg-BG"/>
        </w:rPr>
        <w:t xml:space="preserve">е в размер  на </w:t>
      </w:r>
      <w:r w:rsidR="00687492">
        <w:rPr>
          <w:rFonts w:ascii="Calibri" w:hAnsi="Calibri" w:cs="Calibri"/>
          <w:b/>
          <w:sz w:val="22"/>
          <w:szCs w:val="22"/>
          <w:lang w:val="ru-RU"/>
        </w:rPr>
        <w:t>8 029</w:t>
      </w:r>
      <w:r w:rsidR="00976336" w:rsidRPr="00360873">
        <w:rPr>
          <w:rFonts w:ascii="Calibri" w:hAnsi="Calibri" w:cs="Calibri"/>
          <w:b/>
          <w:sz w:val="22"/>
          <w:szCs w:val="22"/>
          <w:lang w:val="bg-BG"/>
        </w:rPr>
        <w:t xml:space="preserve"> хил. лв.</w:t>
      </w:r>
      <w:r w:rsidR="00976336" w:rsidRPr="00360873">
        <w:rPr>
          <w:rFonts w:ascii="Calibri" w:hAnsi="Calibri" w:cs="Calibri"/>
          <w:sz w:val="22"/>
          <w:szCs w:val="22"/>
          <w:lang w:val="bg-BG"/>
        </w:rPr>
        <w:t xml:space="preserve"> разпределени както следва:</w:t>
      </w:r>
    </w:p>
    <w:p w14:paraId="153B36ED" w14:textId="77777777" w:rsidR="00976336" w:rsidRPr="00285774" w:rsidRDefault="00976336" w:rsidP="00976336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1BB6F0C6" w14:textId="77777777" w:rsidR="00976336" w:rsidRPr="00285774" w:rsidRDefault="00976336" w:rsidP="00976336">
      <w:pPr>
        <w:numPr>
          <w:ilvl w:val="0"/>
          <w:numId w:val="1"/>
        </w:numPr>
        <w:tabs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инвестиционни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–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земеделски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земи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3 </w:t>
      </w:r>
      <w:r w:rsidR="00750EDB">
        <w:rPr>
          <w:rFonts w:ascii="Calibri" w:hAnsi="Calibri" w:cs="Calibri"/>
          <w:b/>
          <w:sz w:val="22"/>
          <w:szCs w:val="22"/>
          <w:lang w:val="ru-RU"/>
        </w:rPr>
        <w:t>839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дка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– </w:t>
      </w:r>
      <w:r w:rsidR="00305B45">
        <w:rPr>
          <w:rFonts w:ascii="Calibri" w:hAnsi="Calibri" w:cs="Calibri"/>
          <w:b/>
          <w:sz w:val="22"/>
          <w:szCs w:val="22"/>
          <w:lang w:val="ru-RU"/>
        </w:rPr>
        <w:t xml:space="preserve">7 </w:t>
      </w:r>
      <w:r w:rsidR="002E5AA8">
        <w:rPr>
          <w:rFonts w:ascii="Calibri" w:hAnsi="Calibri" w:cs="Calibri"/>
          <w:b/>
          <w:sz w:val="22"/>
          <w:szCs w:val="22"/>
          <w:lang w:val="ru-RU"/>
        </w:rPr>
        <w:t>370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>.</w:t>
      </w:r>
    </w:p>
    <w:p w14:paraId="543FAB21" w14:textId="77777777" w:rsidR="00976336" w:rsidRPr="00285774" w:rsidRDefault="00976336" w:rsidP="00976336">
      <w:pPr>
        <w:numPr>
          <w:ilvl w:val="0"/>
          <w:numId w:val="1"/>
        </w:numPr>
        <w:tabs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земеделска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начин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трайно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ползване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Стопански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двор,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ведно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дърводелска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работилница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ярмомелка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площ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278 кв. м. - 52 хил.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>.</w:t>
      </w:r>
    </w:p>
    <w:p w14:paraId="2994EA9B" w14:textId="77777777" w:rsidR="00976336" w:rsidRPr="00285774" w:rsidRDefault="00976336" w:rsidP="00976336">
      <w:pPr>
        <w:numPr>
          <w:ilvl w:val="0"/>
          <w:numId w:val="1"/>
        </w:numPr>
        <w:tabs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Магазин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находящ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к.к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Златни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пясъци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гр. Варна, общ. Варна, обл.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Варненска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с </w:t>
      </w:r>
      <w:proofErr w:type="spellStart"/>
      <w:proofErr w:type="gramStart"/>
      <w:r w:rsidRPr="00285774">
        <w:rPr>
          <w:rFonts w:ascii="Calibri" w:hAnsi="Calibri" w:cs="Calibri"/>
          <w:b/>
          <w:sz w:val="22"/>
          <w:szCs w:val="22"/>
          <w:lang w:val="ru-RU"/>
        </w:rPr>
        <w:t>площ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 50</w:t>
      </w:r>
      <w:proofErr w:type="gramEnd"/>
      <w:r w:rsidRPr="00285774">
        <w:rPr>
          <w:rFonts w:ascii="Calibri" w:hAnsi="Calibri" w:cs="Calibri"/>
          <w:b/>
          <w:sz w:val="22"/>
          <w:szCs w:val="22"/>
          <w:lang w:val="ru-RU"/>
        </w:rPr>
        <w:t>,66 кв. м. – 5</w:t>
      </w:r>
      <w:r w:rsidR="00305B45">
        <w:rPr>
          <w:rFonts w:ascii="Calibri" w:hAnsi="Calibri" w:cs="Calibri"/>
          <w:b/>
          <w:sz w:val="22"/>
          <w:szCs w:val="22"/>
          <w:lang w:val="ru-RU"/>
        </w:rPr>
        <w:t>21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>.</w:t>
      </w:r>
    </w:p>
    <w:p w14:paraId="50F8F913" w14:textId="77777777" w:rsidR="00976336" w:rsidRPr="00285774" w:rsidRDefault="00976336" w:rsidP="00976336">
      <w:pPr>
        <w:numPr>
          <w:ilvl w:val="0"/>
          <w:numId w:val="1"/>
        </w:numPr>
        <w:tabs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етаж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къща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застроена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площ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80 кв.м.,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находяща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с.Кранево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общ.Балчик</w:t>
      </w:r>
      <w:proofErr w:type="spellEnd"/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>, обл. Добрич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– </w:t>
      </w:r>
      <w:r w:rsidR="00275AB5">
        <w:rPr>
          <w:rFonts w:ascii="Calibri" w:hAnsi="Calibri" w:cs="Calibri"/>
          <w:b/>
          <w:sz w:val="22"/>
          <w:szCs w:val="22"/>
          <w:lang w:val="bg-BG"/>
        </w:rPr>
        <w:t>87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>.</w:t>
      </w:r>
    </w:p>
    <w:p w14:paraId="7A7833A7" w14:textId="77777777" w:rsidR="00976336" w:rsidRPr="00285774" w:rsidRDefault="00976336" w:rsidP="00976336">
      <w:pPr>
        <w:jc w:val="both"/>
        <w:rPr>
          <w:rFonts w:ascii="Calibri" w:hAnsi="Calibri" w:cs="Calibri"/>
          <w:sz w:val="22"/>
          <w:szCs w:val="22"/>
          <w:lang w:val="bg-BG"/>
        </w:rPr>
      </w:pPr>
    </w:p>
    <w:tbl>
      <w:tblPr>
        <w:tblW w:w="7315" w:type="dxa"/>
        <w:tblCellSpacing w:w="15" w:type="dxa"/>
        <w:tblInd w:w="95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8"/>
        <w:gridCol w:w="860"/>
        <w:gridCol w:w="1577"/>
      </w:tblGrid>
      <w:tr w:rsidR="00976336" w:rsidRPr="00285774" w14:paraId="27594040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70628121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Средна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площ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на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имот</w:t>
            </w:r>
            <w:proofErr w:type="spellEnd"/>
          </w:p>
        </w:tc>
        <w:tc>
          <w:tcPr>
            <w:tcW w:w="830" w:type="dxa"/>
            <w:vAlign w:val="center"/>
          </w:tcPr>
          <w:p w14:paraId="0E00CBBF" w14:textId="77777777" w:rsidR="00976336" w:rsidRPr="00391722" w:rsidRDefault="00F328D7" w:rsidP="00CC31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10</w:t>
            </w:r>
            <w:r w:rsidR="00976336"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.</w:t>
            </w:r>
            <w:r w:rsidR="00CC31F6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103</w:t>
            </w:r>
          </w:p>
        </w:tc>
        <w:tc>
          <w:tcPr>
            <w:tcW w:w="1532" w:type="dxa"/>
            <w:vAlign w:val="center"/>
          </w:tcPr>
          <w:p w14:paraId="4F95227F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дка</w:t>
            </w:r>
            <w:proofErr w:type="spellEnd"/>
          </w:p>
        </w:tc>
      </w:tr>
      <w:tr w:rsidR="00976336" w:rsidRPr="00285774" w14:paraId="0D5FCFD6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2602901F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Усреднена категория на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земите</w:t>
            </w:r>
            <w:proofErr w:type="spellEnd"/>
          </w:p>
        </w:tc>
        <w:tc>
          <w:tcPr>
            <w:tcW w:w="830" w:type="dxa"/>
            <w:vAlign w:val="center"/>
          </w:tcPr>
          <w:p w14:paraId="4B5FC9EE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5</w:t>
            </w:r>
          </w:p>
        </w:tc>
        <w:tc>
          <w:tcPr>
            <w:tcW w:w="1532" w:type="dxa"/>
            <w:vAlign w:val="center"/>
          </w:tcPr>
          <w:p w14:paraId="34D2930B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(1-10) к</w:t>
            </w:r>
          </w:p>
        </w:tc>
      </w:tr>
      <w:tr w:rsidR="00976336" w:rsidRPr="00285774" w14:paraId="045D9722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2FB4F91E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Средна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цена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</w:t>
            </w:r>
            <w:proofErr w:type="gram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на 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покупка</w:t>
            </w:r>
            <w:proofErr w:type="gramEnd"/>
          </w:p>
        </w:tc>
        <w:tc>
          <w:tcPr>
            <w:tcW w:w="830" w:type="dxa"/>
            <w:vAlign w:val="center"/>
          </w:tcPr>
          <w:p w14:paraId="4CC5CC77" w14:textId="77777777" w:rsidR="00976336" w:rsidRPr="007766D7" w:rsidRDefault="00F328D7" w:rsidP="0045594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1 3</w:t>
            </w:r>
            <w:r w:rsidR="004F5206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5</w:t>
            </w:r>
            <w:r w:rsidR="0045594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1532" w:type="dxa"/>
            <w:vAlign w:val="center"/>
          </w:tcPr>
          <w:p w14:paraId="5B41BF87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лв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/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дка</w:t>
            </w:r>
            <w:proofErr w:type="spellEnd"/>
          </w:p>
        </w:tc>
      </w:tr>
      <w:tr w:rsidR="00976336" w:rsidRPr="00285774" w14:paraId="351DED14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157B94D9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Средна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крайна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цена </w:t>
            </w:r>
            <w:proofErr w:type="gram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( вкл.</w:t>
            </w:r>
            <w:proofErr w:type="gram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разходите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)</w:t>
            </w:r>
          </w:p>
        </w:tc>
        <w:tc>
          <w:tcPr>
            <w:tcW w:w="830" w:type="dxa"/>
            <w:vAlign w:val="center"/>
          </w:tcPr>
          <w:p w14:paraId="410A03BA" w14:textId="77777777" w:rsidR="00976336" w:rsidRPr="00F328D7" w:rsidRDefault="00976336" w:rsidP="0071291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1 </w:t>
            </w:r>
            <w:r w:rsidR="00712918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408</w:t>
            </w:r>
          </w:p>
        </w:tc>
        <w:tc>
          <w:tcPr>
            <w:tcW w:w="1532" w:type="dxa"/>
            <w:vAlign w:val="center"/>
          </w:tcPr>
          <w:p w14:paraId="383DC792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лв/дка</w:t>
            </w:r>
          </w:p>
        </w:tc>
      </w:tr>
      <w:tr w:rsidR="00976336" w:rsidRPr="00285774" w14:paraId="44DE2B40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581CE537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Средна балансова цена ( след преоценка)</w:t>
            </w:r>
          </w:p>
        </w:tc>
        <w:tc>
          <w:tcPr>
            <w:tcW w:w="830" w:type="dxa"/>
            <w:vAlign w:val="center"/>
          </w:tcPr>
          <w:p w14:paraId="67925DB9" w14:textId="77777777" w:rsidR="00976336" w:rsidRPr="00285774" w:rsidRDefault="00976336" w:rsidP="0048407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1 </w:t>
            </w:r>
            <w:r w:rsidR="00D07535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  <w:r w:rsidR="00484076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532" w:type="dxa"/>
            <w:vAlign w:val="center"/>
          </w:tcPr>
          <w:p w14:paraId="75226DE0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лв/дка</w:t>
            </w:r>
          </w:p>
        </w:tc>
      </w:tr>
    </w:tbl>
    <w:p w14:paraId="1A2E2047" w14:textId="77777777" w:rsidR="00CC31F6" w:rsidRDefault="00CC31F6" w:rsidP="009E4552">
      <w:pPr>
        <w:spacing w:after="240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7698F817" w14:textId="77777777" w:rsidR="002A25C3" w:rsidRDefault="00BF616F" w:rsidP="009E4552">
      <w:pPr>
        <w:spacing w:after="240"/>
        <w:jc w:val="both"/>
        <w:rPr>
          <w:rFonts w:ascii="Calibri" w:hAnsi="Calibri" w:cs="Calibri"/>
          <w:sz w:val="22"/>
          <w:szCs w:val="22"/>
          <w:lang w:val="bg-BG"/>
        </w:rPr>
      </w:pPr>
      <w:r w:rsidRPr="00285774">
        <w:rPr>
          <w:rFonts w:ascii="Calibri" w:hAnsi="Calibri" w:cs="Calibri"/>
          <w:sz w:val="22"/>
          <w:szCs w:val="22"/>
          <w:lang w:val="bg-BG"/>
        </w:rPr>
        <w:t>Справедливата стойност на инвестиционните имоти – земеделски земи, е формирана на база средно претеглена стойност от направените оценки на земите от лицензирани независими оценители чрез метод на сравнителните продажби и чрез метод на поземлената рента.</w:t>
      </w:r>
    </w:p>
    <w:p w14:paraId="65728250" w14:textId="77777777" w:rsidR="00CE4446" w:rsidRPr="00285774" w:rsidRDefault="002A25C3" w:rsidP="00CE4446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>
        <w:rPr>
          <w:rFonts w:ascii="Calibri" w:hAnsi="Calibri" w:cs="Calibri"/>
          <w:sz w:val="22"/>
          <w:szCs w:val="22"/>
          <w:lang w:val="bg-BG"/>
        </w:rPr>
        <w:br w:type="page"/>
      </w:r>
      <w:r w:rsidR="00CE4446" w:rsidRPr="00285774">
        <w:rPr>
          <w:rFonts w:ascii="Calibri" w:hAnsi="Calibri" w:cs="Calibri"/>
          <w:b/>
          <w:sz w:val="22"/>
          <w:szCs w:val="22"/>
          <w:lang w:val="bg-BG" w:eastAsia="bg-BG"/>
        </w:rPr>
        <w:lastRenderedPageBreak/>
        <w:t>Разпределение на секюритизираните от „Риъл Булленд” АД</w:t>
      </w:r>
    </w:p>
    <w:p w14:paraId="74FE2FEB" w14:textId="77777777" w:rsidR="00CE4446" w:rsidRDefault="00CE4446" w:rsidP="00CE4446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земеделски земи по категории към 3</w:t>
      </w:r>
      <w:r>
        <w:rPr>
          <w:rFonts w:ascii="Calibri" w:hAnsi="Calibri" w:cs="Calibri"/>
          <w:b/>
          <w:sz w:val="22"/>
          <w:szCs w:val="22"/>
          <w:lang w:val="ru-RU" w:eastAsia="bg-BG"/>
        </w:rPr>
        <w:t>1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>
        <w:rPr>
          <w:rFonts w:ascii="Calibri" w:hAnsi="Calibri" w:cs="Calibri"/>
          <w:b/>
          <w:sz w:val="22"/>
          <w:szCs w:val="22"/>
          <w:lang w:val="bg-BG" w:eastAsia="bg-BG"/>
        </w:rPr>
        <w:t>03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.202</w:t>
      </w:r>
      <w:r>
        <w:rPr>
          <w:rFonts w:ascii="Calibri" w:hAnsi="Calibri" w:cs="Calibri"/>
          <w:b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</w:t>
      </w:r>
    </w:p>
    <w:p w14:paraId="56814A0C" w14:textId="77777777" w:rsidR="004F61F7" w:rsidRDefault="004F61F7" w:rsidP="009E4552">
      <w:pPr>
        <w:spacing w:after="240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39029BFB" w14:textId="77777777" w:rsidR="00CE4446" w:rsidRDefault="00971A9A" w:rsidP="009E4552">
      <w:pPr>
        <w:spacing w:after="240"/>
        <w:jc w:val="both"/>
        <w:rPr>
          <w:rFonts w:ascii="Calibri" w:hAnsi="Calibri" w:cs="Calibri"/>
          <w:sz w:val="22"/>
          <w:szCs w:val="22"/>
          <w:lang w:val="bg-BG"/>
        </w:rPr>
      </w:pPr>
      <w:r w:rsidRPr="00E637E8">
        <w:rPr>
          <w:noProof/>
        </w:rPr>
        <w:drawing>
          <wp:inline distT="0" distB="0" distL="0" distR="0" wp14:anchorId="1B5E19C2" wp14:editId="040EF1BC">
            <wp:extent cx="5139055" cy="37338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26BC0F" w14:textId="77777777" w:rsidR="00CE4446" w:rsidRDefault="00CE4446" w:rsidP="009E4552">
      <w:pPr>
        <w:spacing w:after="240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4D09570D" w14:textId="77777777" w:rsidR="00701D25" w:rsidRPr="00285774" w:rsidRDefault="00701D25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Разпределение на секюритизираните от „Риъл Булленд” АД</w:t>
      </w:r>
    </w:p>
    <w:p w14:paraId="7A5D7220" w14:textId="77777777" w:rsidR="00701D25" w:rsidRDefault="00701D25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земеделски земи по категории към 3</w:t>
      </w:r>
      <w:r w:rsidR="006D190B">
        <w:rPr>
          <w:rFonts w:ascii="Calibri" w:hAnsi="Calibri" w:cs="Calibri"/>
          <w:b/>
          <w:sz w:val="22"/>
          <w:szCs w:val="22"/>
          <w:lang w:val="ru-RU" w:eastAsia="bg-BG"/>
        </w:rPr>
        <w:t>1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 w:rsidR="006D190B">
        <w:rPr>
          <w:rFonts w:ascii="Calibri" w:hAnsi="Calibri" w:cs="Calibri"/>
          <w:b/>
          <w:sz w:val="22"/>
          <w:szCs w:val="22"/>
          <w:lang w:val="bg-BG" w:eastAsia="bg-BG"/>
        </w:rPr>
        <w:t>12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.202</w:t>
      </w:r>
      <w:r w:rsidRPr="00285774">
        <w:rPr>
          <w:rFonts w:ascii="Calibri" w:hAnsi="Calibri" w:cs="Calibri"/>
          <w:b/>
          <w:sz w:val="22"/>
          <w:szCs w:val="22"/>
          <w:lang w:val="ru-RU" w:eastAsia="bg-BG"/>
        </w:rPr>
        <w:t>3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</w:t>
      </w:r>
    </w:p>
    <w:p w14:paraId="6DF01EBF" w14:textId="77777777" w:rsidR="008F2E97" w:rsidRDefault="008F2E97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2FD87F99" w14:textId="77777777" w:rsidR="00D82000" w:rsidRDefault="00D82000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1FA3CDF3" w14:textId="77777777" w:rsidR="00D82000" w:rsidRDefault="00971A9A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455A24">
        <w:rPr>
          <w:noProof/>
        </w:rPr>
        <w:drawing>
          <wp:inline distT="0" distB="0" distL="0" distR="0" wp14:anchorId="4C5C6CFF" wp14:editId="10CE5937">
            <wp:extent cx="5091430" cy="3296920"/>
            <wp:effectExtent l="0" t="0" r="0" b="0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20B40C" w14:textId="77777777" w:rsidR="008C04CE" w:rsidRPr="00285774" w:rsidRDefault="008C04CE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lastRenderedPageBreak/>
        <w:t>Разпределение на секюритизираните от „Риъл Буллленд” АД</w:t>
      </w:r>
    </w:p>
    <w:p w14:paraId="03A82939" w14:textId="77777777" w:rsidR="008C04CE" w:rsidRDefault="008C04CE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земеделски земи по общини към 3</w:t>
      </w:r>
      <w:r>
        <w:rPr>
          <w:rFonts w:ascii="Calibri" w:hAnsi="Calibri" w:cs="Calibri"/>
          <w:b/>
          <w:sz w:val="22"/>
          <w:szCs w:val="22"/>
          <w:lang w:val="ru-RU" w:eastAsia="bg-BG"/>
        </w:rPr>
        <w:t>1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>
        <w:rPr>
          <w:rFonts w:ascii="Calibri" w:hAnsi="Calibri" w:cs="Calibri"/>
          <w:b/>
          <w:sz w:val="22"/>
          <w:szCs w:val="22"/>
          <w:lang w:val="bg-BG" w:eastAsia="bg-BG"/>
        </w:rPr>
        <w:t>03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.202</w:t>
      </w:r>
      <w:r>
        <w:rPr>
          <w:rFonts w:ascii="Calibri" w:hAnsi="Calibri" w:cs="Calibri"/>
          <w:b/>
          <w:sz w:val="22"/>
          <w:szCs w:val="22"/>
          <w:lang w:val="bg-BG" w:eastAsia="bg-BG"/>
        </w:rPr>
        <w:t>4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</w:t>
      </w:r>
    </w:p>
    <w:p w14:paraId="654222A8" w14:textId="77777777" w:rsidR="008C04CE" w:rsidRDefault="008C04CE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353874A7" w14:textId="77777777" w:rsidR="008C04CE" w:rsidRDefault="008C04CE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51DFFA8A" w14:textId="77777777" w:rsidR="008C04CE" w:rsidRDefault="00971A9A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E637E8">
        <w:rPr>
          <w:noProof/>
        </w:rPr>
        <w:drawing>
          <wp:inline distT="0" distB="0" distL="0" distR="0" wp14:anchorId="57416001" wp14:editId="020CFC14">
            <wp:extent cx="5772150" cy="3505200"/>
            <wp:effectExtent l="0" t="0" r="0" b="0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9B721A" w14:textId="77777777" w:rsidR="008C04CE" w:rsidRDefault="008C04CE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1E750D7D" w14:textId="77777777" w:rsidR="008C04CE" w:rsidRDefault="008C04CE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0B93372D" w14:textId="77777777" w:rsidR="008C04CE" w:rsidRPr="00285774" w:rsidRDefault="008C04CE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Разпределение на секюритизираните от „Риъл Буллленд” АД</w:t>
      </w:r>
    </w:p>
    <w:p w14:paraId="29B866C2" w14:textId="77777777" w:rsidR="008C04CE" w:rsidRDefault="008C04CE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земеделски земи по общини към 3</w:t>
      </w:r>
      <w:r>
        <w:rPr>
          <w:rFonts w:ascii="Calibri" w:hAnsi="Calibri" w:cs="Calibri"/>
          <w:b/>
          <w:sz w:val="22"/>
          <w:szCs w:val="22"/>
          <w:lang w:val="ru-RU" w:eastAsia="bg-BG"/>
        </w:rPr>
        <w:t>1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>
        <w:rPr>
          <w:rFonts w:ascii="Calibri" w:hAnsi="Calibri" w:cs="Calibri"/>
          <w:b/>
          <w:sz w:val="22"/>
          <w:szCs w:val="22"/>
          <w:lang w:val="bg-BG" w:eastAsia="bg-BG"/>
        </w:rPr>
        <w:t>12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.2023 г.</w:t>
      </w:r>
    </w:p>
    <w:p w14:paraId="224AD6CD" w14:textId="77777777" w:rsidR="008C04CE" w:rsidRDefault="008C04CE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2C1F4466" w14:textId="77777777" w:rsidR="000D17BD" w:rsidRDefault="000D17BD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468FD34C" w14:textId="77777777" w:rsidR="000D17BD" w:rsidRDefault="00971A9A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455A24">
        <w:rPr>
          <w:noProof/>
        </w:rPr>
        <w:drawing>
          <wp:inline distT="0" distB="0" distL="0" distR="0" wp14:anchorId="472F4C74" wp14:editId="7C94D907">
            <wp:extent cx="5759450" cy="3495675"/>
            <wp:effectExtent l="0" t="0" r="0" b="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A9E713" w14:textId="77777777" w:rsidR="00A902DE" w:rsidRDefault="00A902D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</w:p>
    <w:p w14:paraId="0F127CED" w14:textId="77777777" w:rsidR="00D43EFE" w:rsidRPr="00285774" w:rsidRDefault="00E41C58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lastRenderedPageBreak/>
        <w:t>3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. Промени в капитала на дружеството </w:t>
      </w:r>
    </w:p>
    <w:p w14:paraId="534F4C57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</w:p>
    <w:p w14:paraId="243080F2" w14:textId="77777777" w:rsidR="002A317F" w:rsidRPr="002A317F" w:rsidRDefault="002A317F" w:rsidP="002A317F">
      <w:pPr>
        <w:spacing w:line="276" w:lineRule="auto"/>
        <w:ind w:firstLine="708"/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2A317F">
        <w:rPr>
          <w:rFonts w:ascii="Calibri" w:hAnsi="Calibri" w:cs="Calibri"/>
          <w:bCs/>
          <w:sz w:val="22"/>
          <w:szCs w:val="22"/>
          <w:lang w:val="bg-BG" w:eastAsia="bg-BG"/>
        </w:rPr>
        <w:t>С решение № 606 - Е от 06.06.2023 г. на Комисия за финансов надзор е потвърден  Проспект за публично предлагане чрез издаване на нови  6 020 362 броя обикновени, поименни, безналични свободнопрехвърляеми акции.</w:t>
      </w:r>
    </w:p>
    <w:p w14:paraId="73CF877F" w14:textId="77777777" w:rsidR="00F919FB" w:rsidRPr="00FF3887" w:rsidRDefault="00556EDC" w:rsidP="00556ED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val="bg-BG"/>
        </w:rPr>
      </w:pPr>
      <w:r w:rsidRPr="00FF3887">
        <w:rPr>
          <w:rFonts w:ascii="Calibri" w:hAnsi="Calibri" w:cs="Calibri"/>
          <w:sz w:val="22"/>
          <w:szCs w:val="22"/>
          <w:lang w:val="bg-BG"/>
        </w:rPr>
        <w:t>Увеличението на капитала е вписано на 08.12.2023 г. в Търговския регистър към Агенция по вписванията от 6,020,362 лева  на 8,050,613 лева. разпределени в 8,050,613 броя акции. Вписан е и променен Устав, актуализиран с новия размер на капитала,. Акциите са обикновени, безналични, всяка една с право на глас в Oбщото събрание на акционерите, право на дивидент и право на ликвидационен дял, съразмерен на номиналната им стойност</w:t>
      </w:r>
    </w:p>
    <w:p w14:paraId="7B8E0D31" w14:textId="77777777" w:rsidR="00556EDC" w:rsidRDefault="00556EDC" w:rsidP="00020298">
      <w:pPr>
        <w:spacing w:line="276" w:lineRule="auto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139D0CF6" w14:textId="77777777" w:rsidR="00020298" w:rsidRPr="00285774" w:rsidRDefault="00020298" w:rsidP="00020298">
      <w:pPr>
        <w:spacing w:line="276" w:lineRule="auto"/>
        <w:jc w:val="both"/>
        <w:rPr>
          <w:rFonts w:ascii="Calibri" w:hAnsi="Calibri" w:cs="Calibri"/>
          <w:sz w:val="22"/>
          <w:szCs w:val="22"/>
          <w:lang w:val="bg-BG"/>
        </w:rPr>
      </w:pPr>
      <w:r w:rsidRPr="00285774">
        <w:rPr>
          <w:rFonts w:ascii="Calibri" w:hAnsi="Calibri" w:cs="Calibri"/>
          <w:sz w:val="22"/>
          <w:szCs w:val="22"/>
          <w:lang w:val="bg-BG"/>
        </w:rPr>
        <w:t>Всички издадени от "Риъл Булленд" АД акции се търгуват на "БФБ-София" АД.</w:t>
      </w:r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sz w:val="22"/>
          <w:szCs w:val="22"/>
          <w:lang w:val="bg-BG"/>
        </w:rPr>
        <w:t>Основен пазар BSE, Сегмент акции „Standard”  с босов код RBL.</w:t>
      </w:r>
    </w:p>
    <w:p w14:paraId="0B06EC19" w14:textId="77777777" w:rsidR="00020298" w:rsidRPr="00285774" w:rsidRDefault="00020298" w:rsidP="00020298">
      <w:pPr>
        <w:spacing w:line="276" w:lineRule="auto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239C2D70" w14:textId="77777777" w:rsidR="00D43EFE" w:rsidRPr="00285774" w:rsidRDefault="00DA1397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4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 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Анализ на икономическото състояние, което представя вярно и честно развитието и резултатите от дейността на дружеството, както и неговото състояние, заедно с описание на основните рискове, пред които е изправено.</w:t>
      </w:r>
    </w:p>
    <w:p w14:paraId="3987D790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</w:p>
    <w:p w14:paraId="2B6579CB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Приходи, разходи и финансови резултати от дейността към 3</w:t>
      </w:r>
      <w:r w:rsidR="00EE4FDB">
        <w:rPr>
          <w:rFonts w:ascii="Calibri" w:hAnsi="Calibri" w:cs="Calibri"/>
          <w:b/>
          <w:bCs/>
          <w:sz w:val="22"/>
          <w:szCs w:val="22"/>
          <w:lang w:val="bg-BG" w:eastAsia="bg-BG"/>
        </w:rPr>
        <w:t>1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961277">
        <w:rPr>
          <w:rFonts w:ascii="Calibri" w:hAnsi="Calibri" w:cs="Calibri"/>
          <w:b/>
          <w:bCs/>
          <w:sz w:val="22"/>
          <w:szCs w:val="22"/>
          <w:lang w:val="ru-RU" w:eastAsia="bg-BG"/>
        </w:rPr>
        <w:t>03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381812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2</w:t>
      </w:r>
      <w:r w:rsidR="00961277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година</w:t>
      </w:r>
    </w:p>
    <w:p w14:paraId="6EFE2959" w14:textId="77777777" w:rsidR="00861697" w:rsidRDefault="00861697" w:rsidP="00A519B5">
      <w:pPr>
        <w:rPr>
          <w:rFonts w:ascii="Calibri" w:hAnsi="Calibri" w:cs="Calibri"/>
          <w:bCs/>
          <w:sz w:val="22"/>
          <w:szCs w:val="22"/>
          <w:lang w:val="bg-BG" w:eastAsia="bg-BG"/>
        </w:rPr>
      </w:pPr>
    </w:p>
    <w:p w14:paraId="27853BE9" w14:textId="77777777" w:rsidR="00A519B5" w:rsidRPr="00285774" w:rsidRDefault="00D43EFE" w:rsidP="00A519B5">
      <w:pPr>
        <w:rPr>
          <w:rFonts w:ascii="Calibri" w:hAnsi="Calibri" w:cs="Calibri"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Основната част от приходите на дружеството </w:t>
      </w:r>
      <w:r w:rsidR="00831551" w:rsidRPr="00285774">
        <w:rPr>
          <w:rFonts w:ascii="Calibri" w:hAnsi="Calibri" w:cs="Calibri"/>
          <w:bCs/>
          <w:sz w:val="22"/>
          <w:szCs w:val="22"/>
          <w:lang w:val="bg-BG" w:eastAsia="bg-BG"/>
        </w:rPr>
        <w:t>за периода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01.01.20</w:t>
      </w:r>
      <w:r w:rsidR="00381812" w:rsidRPr="00285774">
        <w:rPr>
          <w:rFonts w:ascii="Calibri" w:hAnsi="Calibri" w:cs="Calibri"/>
          <w:bCs/>
          <w:sz w:val="22"/>
          <w:szCs w:val="22"/>
          <w:lang w:val="bg-BG" w:eastAsia="bg-BG"/>
        </w:rPr>
        <w:t>2</w:t>
      </w:r>
      <w:r w:rsidR="005E1E87">
        <w:rPr>
          <w:rFonts w:ascii="Calibri" w:hAnsi="Calibri" w:cs="Calibri"/>
          <w:bCs/>
          <w:sz w:val="22"/>
          <w:szCs w:val="22"/>
          <w:lang w:val="bg-BG" w:eastAsia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г.</w:t>
      </w:r>
      <w:r w:rsidR="00831551"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- 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3</w:t>
      </w:r>
      <w:r w:rsidR="00EE4FDB">
        <w:rPr>
          <w:rFonts w:ascii="Calibri" w:hAnsi="Calibri" w:cs="Calibri"/>
          <w:bCs/>
          <w:sz w:val="22"/>
          <w:szCs w:val="22"/>
          <w:lang w:val="bg-BG" w:eastAsia="bg-BG"/>
        </w:rPr>
        <w:t>1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.</w:t>
      </w:r>
      <w:r w:rsidR="005E1E87">
        <w:rPr>
          <w:rFonts w:ascii="Calibri" w:hAnsi="Calibri" w:cs="Calibri"/>
          <w:bCs/>
          <w:sz w:val="22"/>
          <w:szCs w:val="22"/>
          <w:lang w:val="ru-RU" w:eastAsia="bg-BG"/>
        </w:rPr>
        <w:t>03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.20</w:t>
      </w:r>
      <w:r w:rsidR="00381812" w:rsidRPr="00285774">
        <w:rPr>
          <w:rFonts w:ascii="Calibri" w:hAnsi="Calibri" w:cs="Calibri"/>
          <w:bCs/>
          <w:sz w:val="22"/>
          <w:szCs w:val="22"/>
          <w:lang w:val="bg-BG" w:eastAsia="bg-BG"/>
        </w:rPr>
        <w:t>2</w:t>
      </w:r>
      <w:r w:rsidR="005E1E87">
        <w:rPr>
          <w:rFonts w:ascii="Calibri" w:hAnsi="Calibri" w:cs="Calibri"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г. </w:t>
      </w:r>
      <w:r w:rsidR="009337A1" w:rsidRPr="00285774">
        <w:rPr>
          <w:rFonts w:ascii="Calibri" w:hAnsi="Calibri" w:cs="Calibri"/>
          <w:bCs/>
          <w:sz w:val="22"/>
          <w:szCs w:val="22"/>
          <w:lang w:val="bg-BG" w:eastAsia="bg-BG"/>
        </w:rPr>
        <w:t>с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а</w:t>
      </w:r>
      <w:r w:rsidR="009337A1" w:rsidRPr="00285774">
        <w:rPr>
          <w:rFonts w:ascii="Calibri" w:hAnsi="Calibri" w:cs="Calibri"/>
          <w:bCs/>
          <w:sz w:val="22"/>
          <w:szCs w:val="22"/>
          <w:lang w:val="bg-BG" w:eastAsia="bg-BG"/>
        </w:rPr>
        <w:t>: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  <w:r w:rsidR="00A519B5"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</w:p>
    <w:p w14:paraId="3D5827CC" w14:textId="77777777" w:rsidR="00A519B5" w:rsidRPr="004B65C4" w:rsidRDefault="005603C8" w:rsidP="00A519B5">
      <w:pPr>
        <w:ind w:left="360"/>
        <w:jc w:val="both"/>
        <w:rPr>
          <w:rFonts w:ascii="Calibri" w:hAnsi="Calibri" w:cs="Calibri"/>
          <w:b/>
          <w:bCs/>
          <w:sz w:val="22"/>
          <w:szCs w:val="22"/>
          <w:lang w:val="bg-BG"/>
        </w:rPr>
      </w:pPr>
      <w:r>
        <w:rPr>
          <w:rFonts w:ascii="Calibri" w:hAnsi="Calibri" w:cs="Calibri"/>
          <w:bCs/>
          <w:sz w:val="22"/>
          <w:szCs w:val="22"/>
          <w:lang w:val="bg-BG"/>
        </w:rPr>
        <w:t xml:space="preserve">- </w:t>
      </w:r>
      <w:r w:rsidR="00D43EFE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bg-BG"/>
        </w:rPr>
        <w:t xml:space="preserve">    п</w:t>
      </w:r>
      <w:r w:rsidRPr="005603C8">
        <w:rPr>
          <w:rFonts w:ascii="Calibri" w:hAnsi="Calibri" w:cs="Calibri"/>
          <w:bCs/>
          <w:sz w:val="22"/>
          <w:szCs w:val="22"/>
          <w:lang w:val="bg-BG"/>
        </w:rPr>
        <w:t>риходи от наеми инвестиционни имоти</w:t>
      </w:r>
      <w:r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4B65C4">
        <w:rPr>
          <w:rFonts w:ascii="Calibri" w:hAnsi="Calibri" w:cs="Calibri"/>
          <w:bCs/>
          <w:sz w:val="22"/>
          <w:szCs w:val="22"/>
          <w:lang w:val="bg-BG"/>
        </w:rPr>
        <w:t xml:space="preserve">– </w:t>
      </w:r>
      <w:r w:rsidR="00961277">
        <w:rPr>
          <w:rFonts w:ascii="Calibri" w:hAnsi="Calibri" w:cs="Calibri"/>
          <w:b/>
          <w:bCs/>
          <w:sz w:val="22"/>
          <w:szCs w:val="22"/>
          <w:lang w:val="bg-BG"/>
        </w:rPr>
        <w:t>1</w:t>
      </w:r>
      <w:r w:rsidR="002470A5">
        <w:rPr>
          <w:rFonts w:ascii="Calibri" w:hAnsi="Calibri" w:cs="Calibri"/>
          <w:b/>
          <w:bCs/>
          <w:sz w:val="22"/>
          <w:szCs w:val="22"/>
          <w:lang w:val="bg-BG"/>
        </w:rPr>
        <w:t xml:space="preserve"> </w:t>
      </w:r>
      <w:r w:rsidR="004B65C4" w:rsidRPr="004B65C4">
        <w:rPr>
          <w:rFonts w:ascii="Calibri" w:hAnsi="Calibri" w:cs="Calibri"/>
          <w:b/>
          <w:bCs/>
          <w:sz w:val="22"/>
          <w:szCs w:val="22"/>
          <w:lang w:val="bg-BG"/>
        </w:rPr>
        <w:t>хил. лв.</w:t>
      </w:r>
    </w:p>
    <w:p w14:paraId="79FB81E4" w14:textId="77777777" w:rsidR="00B06529" w:rsidRPr="00285774" w:rsidRDefault="00B06529" w:rsidP="00B83FBC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</w:p>
    <w:p w14:paraId="40B2FE4A" w14:textId="77777777" w:rsidR="00D43EFE" w:rsidRPr="00E31137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Общият размер на приходите на дружеството към 3</w:t>
      </w:r>
      <w:r w:rsidR="001E71AA">
        <w:rPr>
          <w:rFonts w:ascii="Calibri" w:hAnsi="Calibri" w:cs="Calibri"/>
          <w:b/>
          <w:bCs/>
          <w:sz w:val="22"/>
          <w:szCs w:val="22"/>
          <w:lang w:val="bg-BG" w:eastAsia="bg-BG"/>
        </w:rPr>
        <w:t>1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03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D93098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2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г. е 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1</w:t>
      </w:r>
      <w:r w:rsidR="00C46B8C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хил. лева. </w:t>
      </w:r>
    </w:p>
    <w:p w14:paraId="2DD23D78" w14:textId="77777777" w:rsidR="00D43EFE" w:rsidRPr="00E31137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Общият размер на разходите на дружеството към 3</w:t>
      </w:r>
      <w:r w:rsidR="00446AE3">
        <w:rPr>
          <w:rFonts w:ascii="Calibri" w:hAnsi="Calibri" w:cs="Calibri"/>
          <w:b/>
          <w:bCs/>
          <w:sz w:val="22"/>
          <w:szCs w:val="22"/>
          <w:lang w:val="bg-BG" w:eastAsia="bg-BG"/>
        </w:rPr>
        <w:t>1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5F2EBE">
        <w:rPr>
          <w:rFonts w:ascii="Calibri" w:hAnsi="Calibri" w:cs="Calibri"/>
          <w:b/>
          <w:bCs/>
          <w:sz w:val="22"/>
          <w:szCs w:val="22"/>
          <w:lang w:val="bg-BG" w:eastAsia="bg-BG"/>
        </w:rPr>
        <w:t>03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D93098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2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г. е 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5</w:t>
      </w:r>
      <w:r w:rsidR="00A902DE" w:rsidRPr="00D37BC0">
        <w:rPr>
          <w:rFonts w:ascii="Calibri" w:hAnsi="Calibri" w:cs="Calibri"/>
          <w:b/>
          <w:bCs/>
          <w:sz w:val="22"/>
          <w:szCs w:val="22"/>
          <w:lang w:val="ru-RU" w:eastAsia="bg-BG"/>
        </w:rPr>
        <w:t>0</w:t>
      </w:r>
      <w:r w:rsidR="0068086D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хил. лева.</w:t>
      </w:r>
      <w:r w:rsidR="00BF2FBC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, както следва:</w:t>
      </w:r>
    </w:p>
    <w:p w14:paraId="758CDD3D" w14:textId="77777777" w:rsidR="006863FC" w:rsidRPr="00E31137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>Разходите за персонала са в размер на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30</w:t>
      </w: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хил.</w:t>
      </w:r>
      <w:r w:rsidRPr="00E31137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 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лв</w:t>
      </w:r>
      <w:r w:rsidR="00B3591E" w:rsidRPr="00E31137">
        <w:rPr>
          <w:rFonts w:ascii="Calibri" w:hAnsi="Calibri" w:cs="Calibri"/>
          <w:b/>
          <w:bCs/>
          <w:sz w:val="22"/>
          <w:szCs w:val="22"/>
          <w:lang w:val="ru-RU" w:eastAsia="bg-BG"/>
        </w:rPr>
        <w:t>;</w:t>
      </w:r>
      <w:r w:rsidR="000D1549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</w:p>
    <w:p w14:paraId="3810534A" w14:textId="77777777" w:rsidR="00F74522" w:rsidRPr="00E31137" w:rsidRDefault="00B3591E" w:rsidP="00D43EFE">
      <w:pPr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разходите </w:t>
      </w:r>
      <w:r w:rsidR="00F74522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външни услуги </w:t>
      </w:r>
      <w:r w:rsidR="00D43EFE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са </w:t>
      </w:r>
      <w:r w:rsidR="00D43EFE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в размер на 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1</w:t>
      </w:r>
      <w:r w:rsidR="00A902DE" w:rsidRPr="00D37BC0">
        <w:rPr>
          <w:rFonts w:ascii="Calibri" w:hAnsi="Calibri" w:cs="Calibri"/>
          <w:b/>
          <w:bCs/>
          <w:sz w:val="22"/>
          <w:szCs w:val="22"/>
          <w:lang w:val="ru-RU" w:eastAsia="bg-BG"/>
        </w:rPr>
        <w:t>7</w:t>
      </w:r>
      <w:r w:rsidR="00E2060C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="00D43EFE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хил. лв</w:t>
      </w:r>
      <w:r w:rsidR="00D43EFE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  <w:r w:rsidR="00F74522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, които включват: </w:t>
      </w:r>
    </w:p>
    <w:p w14:paraId="65580789" w14:textId="77777777" w:rsidR="00F74522" w:rsidRPr="00E31137" w:rsidRDefault="00F74522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E31137">
        <w:rPr>
          <w:rFonts w:ascii="Calibri" w:hAnsi="Calibri" w:cs="Calibri"/>
          <w:bCs/>
          <w:sz w:val="22"/>
          <w:szCs w:val="22"/>
          <w:lang w:val="bg-BG"/>
        </w:rPr>
        <w:t>-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 разходите за наем </w:t>
      </w:r>
      <w:r w:rsidR="009702A3" w:rsidRPr="00E31137">
        <w:rPr>
          <w:rFonts w:ascii="Calibri" w:hAnsi="Calibri" w:cs="Calibri"/>
          <w:bCs/>
          <w:sz w:val="22"/>
          <w:szCs w:val="22"/>
          <w:lang w:val="bg-BG"/>
        </w:rPr>
        <w:t>-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FA7767">
        <w:rPr>
          <w:rFonts w:ascii="Calibri" w:hAnsi="Calibri" w:cs="Calibri"/>
          <w:bCs/>
          <w:sz w:val="22"/>
          <w:szCs w:val="22"/>
          <w:lang w:val="ru-RU"/>
        </w:rPr>
        <w:t>5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 хил. лв., </w:t>
      </w:r>
    </w:p>
    <w:p w14:paraId="7D2601CF" w14:textId="77777777" w:rsidR="00F74522" w:rsidRPr="00E31137" w:rsidRDefault="00F74522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E31137">
        <w:rPr>
          <w:rFonts w:ascii="Calibri" w:hAnsi="Calibri" w:cs="Calibri"/>
          <w:bCs/>
          <w:sz w:val="22"/>
          <w:szCs w:val="22"/>
          <w:lang w:val="bg-BG"/>
        </w:rPr>
        <w:t xml:space="preserve">- 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разходи за </w:t>
      </w:r>
      <w:r w:rsidR="002933EC" w:rsidRPr="00E31137">
        <w:rPr>
          <w:rFonts w:ascii="Calibri" w:hAnsi="Calibri" w:cs="Calibri"/>
          <w:bCs/>
          <w:sz w:val="22"/>
          <w:szCs w:val="22"/>
          <w:lang w:val="bg-BG"/>
        </w:rPr>
        <w:t>оценители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AE6187" w:rsidRPr="00E31137">
        <w:rPr>
          <w:rFonts w:ascii="Calibri" w:hAnsi="Calibri" w:cs="Calibri"/>
          <w:bCs/>
          <w:sz w:val="22"/>
          <w:szCs w:val="22"/>
          <w:lang w:val="bg-BG"/>
        </w:rPr>
        <w:t xml:space="preserve">недвижими имоти 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– </w:t>
      </w:r>
      <w:r w:rsidR="00FA7767">
        <w:rPr>
          <w:rFonts w:ascii="Calibri" w:hAnsi="Calibri" w:cs="Calibri"/>
          <w:bCs/>
          <w:sz w:val="22"/>
          <w:szCs w:val="22"/>
          <w:lang w:val="ru-RU"/>
        </w:rPr>
        <w:t>6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 хил. лв.,</w:t>
      </w:r>
    </w:p>
    <w:p w14:paraId="362069BF" w14:textId="77777777" w:rsidR="00D43EFE" w:rsidRPr="00E31137" w:rsidRDefault="00F74522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E31137">
        <w:rPr>
          <w:rFonts w:ascii="Calibri" w:hAnsi="Calibri" w:cs="Calibri"/>
          <w:bCs/>
          <w:sz w:val="22"/>
          <w:szCs w:val="22"/>
          <w:lang w:val="bg-BG"/>
        </w:rPr>
        <w:t xml:space="preserve">- 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разходи за такси БФБ, КФН, Централен депозитар.- </w:t>
      </w:r>
      <w:r w:rsidR="00FA7767">
        <w:rPr>
          <w:rFonts w:ascii="Calibri" w:hAnsi="Calibri" w:cs="Calibri"/>
          <w:bCs/>
          <w:sz w:val="22"/>
          <w:szCs w:val="22"/>
          <w:lang w:val="ru-RU"/>
        </w:rPr>
        <w:t>1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 хил. лв. </w:t>
      </w:r>
    </w:p>
    <w:p w14:paraId="14858E7E" w14:textId="77777777" w:rsidR="008575F4" w:rsidRPr="00E31137" w:rsidRDefault="006863FC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E31137">
        <w:rPr>
          <w:rFonts w:ascii="Calibri" w:hAnsi="Calibri" w:cs="Calibri"/>
          <w:bCs/>
          <w:sz w:val="22"/>
          <w:szCs w:val="22"/>
          <w:lang w:val="bg-BG"/>
        </w:rPr>
        <w:t xml:space="preserve">- разходи за одит – </w:t>
      </w:r>
      <w:r w:rsidR="00FA7767">
        <w:rPr>
          <w:rFonts w:ascii="Calibri" w:hAnsi="Calibri" w:cs="Calibri"/>
          <w:bCs/>
          <w:sz w:val="22"/>
          <w:szCs w:val="22"/>
          <w:lang w:val="ru-RU"/>
        </w:rPr>
        <w:t>3</w:t>
      </w:r>
      <w:r w:rsidR="000D479A" w:rsidRPr="00E31137">
        <w:rPr>
          <w:rFonts w:ascii="Calibri" w:hAnsi="Calibri" w:cs="Calibri"/>
          <w:bCs/>
          <w:sz w:val="22"/>
          <w:szCs w:val="22"/>
          <w:lang w:val="bg-BG"/>
        </w:rPr>
        <w:t xml:space="preserve"> хил. лв.</w:t>
      </w:r>
    </w:p>
    <w:p w14:paraId="62B843E6" w14:textId="77777777" w:rsidR="002A203A" w:rsidRPr="00E31137" w:rsidRDefault="002A203A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E31137">
        <w:rPr>
          <w:rFonts w:ascii="Calibri" w:hAnsi="Calibri" w:cs="Calibri"/>
          <w:bCs/>
          <w:sz w:val="22"/>
          <w:szCs w:val="22"/>
          <w:lang w:val="ru-RU"/>
        </w:rPr>
        <w:t xml:space="preserve">- </w:t>
      </w:r>
      <w:r w:rsidRPr="00E31137">
        <w:rPr>
          <w:rFonts w:ascii="Calibri" w:hAnsi="Calibri" w:cs="Calibri"/>
          <w:bCs/>
          <w:sz w:val="22"/>
          <w:szCs w:val="22"/>
          <w:lang w:val="bg-BG"/>
        </w:rPr>
        <w:t xml:space="preserve">други разходи за външни услуги – </w:t>
      </w:r>
      <w:r w:rsidR="00A902DE" w:rsidRPr="00D37BC0">
        <w:rPr>
          <w:rFonts w:ascii="Calibri" w:hAnsi="Calibri" w:cs="Calibri"/>
          <w:bCs/>
          <w:sz w:val="22"/>
          <w:szCs w:val="22"/>
          <w:lang w:val="ru-RU"/>
        </w:rPr>
        <w:t>2</w:t>
      </w:r>
      <w:r w:rsidR="00915CF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Pr="00E31137">
        <w:rPr>
          <w:rFonts w:ascii="Calibri" w:hAnsi="Calibri" w:cs="Calibri"/>
          <w:bCs/>
          <w:sz w:val="22"/>
          <w:szCs w:val="22"/>
          <w:lang w:val="bg-BG"/>
        </w:rPr>
        <w:t>хил. лв.</w:t>
      </w:r>
    </w:p>
    <w:p w14:paraId="5211BD5F" w14:textId="77777777" w:rsidR="003A346B" w:rsidRPr="00E31137" w:rsidRDefault="002A203A" w:rsidP="003A346B">
      <w:pPr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Cs/>
          <w:sz w:val="22"/>
          <w:szCs w:val="22"/>
          <w:lang w:val="bg-BG"/>
        </w:rPr>
        <w:t xml:space="preserve">други разходи </w:t>
      </w:r>
      <w:r w:rsidR="003A346B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са в размер на </w:t>
      </w:r>
      <w:r w:rsidR="00FA7767">
        <w:rPr>
          <w:rFonts w:ascii="Calibri" w:hAnsi="Calibri" w:cs="Calibri"/>
          <w:b/>
          <w:bCs/>
          <w:sz w:val="22"/>
          <w:szCs w:val="22"/>
          <w:lang w:val="ru-RU" w:eastAsia="bg-BG"/>
        </w:rPr>
        <w:t>3</w:t>
      </w:r>
      <w:r w:rsidR="003A346B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хил. лв</w:t>
      </w:r>
      <w:r w:rsidR="003A346B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, които включват:</w:t>
      </w:r>
    </w:p>
    <w:p w14:paraId="0D9AD828" w14:textId="77777777" w:rsidR="002A203A" w:rsidRDefault="003A346B" w:rsidP="003A346B">
      <w:pPr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E31137">
        <w:rPr>
          <w:rFonts w:ascii="Calibri" w:hAnsi="Calibri" w:cs="Calibri"/>
          <w:bCs/>
          <w:sz w:val="22"/>
          <w:szCs w:val="22"/>
          <w:lang w:val="bg-BG"/>
        </w:rPr>
        <w:t xml:space="preserve">        - </w:t>
      </w:r>
      <w:r w:rsidR="00D216CB" w:rsidRPr="00E31137">
        <w:rPr>
          <w:rFonts w:ascii="Calibri" w:hAnsi="Calibri" w:cs="Calibri"/>
          <w:bCs/>
          <w:sz w:val="22"/>
          <w:szCs w:val="22"/>
          <w:lang w:val="bg-BG"/>
        </w:rPr>
        <w:t>разходи за непризнат данъчен кредит</w:t>
      </w:r>
      <w:r w:rsidR="002A203A" w:rsidRPr="00E31137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D216CB" w:rsidRPr="00E31137">
        <w:rPr>
          <w:rFonts w:ascii="Calibri" w:hAnsi="Calibri" w:cs="Calibri"/>
          <w:bCs/>
          <w:sz w:val="22"/>
          <w:szCs w:val="22"/>
          <w:lang w:val="bg-BG"/>
        </w:rPr>
        <w:t xml:space="preserve">– </w:t>
      </w:r>
      <w:r w:rsidR="00FA7767">
        <w:rPr>
          <w:rFonts w:ascii="Calibri" w:hAnsi="Calibri" w:cs="Calibri"/>
          <w:bCs/>
          <w:sz w:val="22"/>
          <w:szCs w:val="22"/>
          <w:lang w:val="bg-BG"/>
        </w:rPr>
        <w:t>3</w:t>
      </w:r>
      <w:r w:rsidR="00D216CB" w:rsidRPr="00E31137">
        <w:rPr>
          <w:rFonts w:ascii="Calibri" w:hAnsi="Calibri" w:cs="Calibri"/>
          <w:bCs/>
          <w:sz w:val="22"/>
          <w:szCs w:val="22"/>
          <w:lang w:val="bg-BG"/>
        </w:rPr>
        <w:t xml:space="preserve"> хил. лв.</w:t>
      </w:r>
      <w:r w:rsidR="00D216CB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2A203A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</w:p>
    <w:p w14:paraId="08632690" w14:textId="77777777" w:rsidR="00082A48" w:rsidRDefault="00082A48" w:rsidP="003A346B">
      <w:pPr>
        <w:jc w:val="both"/>
        <w:rPr>
          <w:rFonts w:ascii="Calibri" w:hAnsi="Calibri" w:cs="Calibri"/>
          <w:bCs/>
          <w:sz w:val="22"/>
          <w:szCs w:val="22"/>
          <w:lang w:val="bg-BG"/>
        </w:rPr>
      </w:pPr>
    </w:p>
    <w:p w14:paraId="5ECB2659" w14:textId="77777777" w:rsidR="00D43EFE" w:rsidRPr="00285774" w:rsidRDefault="00D43EFE" w:rsidP="0039099B">
      <w:pPr>
        <w:suppressAutoHyphens/>
        <w:ind w:firstLine="709"/>
        <w:jc w:val="center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  <w:t>АНАЛИЗ НА ИКОНОМИЧЕСКОТО СЪСТОЯНИЕ</w:t>
      </w:r>
    </w:p>
    <w:p w14:paraId="328AFB7A" w14:textId="77777777" w:rsidR="00D43EFE" w:rsidRPr="00285774" w:rsidRDefault="00D43EFE" w:rsidP="0039099B">
      <w:pPr>
        <w:suppressAutoHyphens/>
        <w:ind w:firstLine="709"/>
        <w:jc w:val="center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Структура на приходите и разходите</w:t>
      </w: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850"/>
        <w:gridCol w:w="1418"/>
        <w:gridCol w:w="992"/>
      </w:tblGrid>
      <w:tr w:rsidR="00D43EFE" w:rsidRPr="00285774" w14:paraId="794A1625" w14:textId="77777777" w:rsidTr="004E420F">
        <w:trPr>
          <w:trHeight w:val="7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E3451" w14:textId="77777777" w:rsidR="00D43EFE" w:rsidRPr="00285774" w:rsidRDefault="00D43EFE" w:rsidP="004E420F">
            <w:pPr>
              <w:suppressAutoHyphens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B55C" w14:textId="77777777" w:rsidR="00D43EFE" w:rsidRPr="00285774" w:rsidRDefault="00D43EFE" w:rsidP="00403E74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Отчет 3</w:t>
            </w:r>
            <w:r w:rsidR="00082A48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403E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03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.20</w:t>
            </w:r>
            <w:r w:rsidR="00E85E09"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2</w:t>
            </w:r>
            <w:r w:rsidR="00403E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   хил. лв.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4B2A" w14:textId="77777777" w:rsidR="00D43EFE" w:rsidRPr="00285774" w:rsidRDefault="00D43EFE" w:rsidP="004E420F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Дял в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3B56" w14:textId="77777777" w:rsidR="00D43EFE" w:rsidRPr="00285774" w:rsidRDefault="00D43EFE" w:rsidP="00403E74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Отчет 3</w:t>
            </w:r>
            <w:r w:rsidR="00082A48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403E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03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.20</w:t>
            </w:r>
            <w:r w:rsidR="000F19E8" w:rsidRPr="00285774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2</w:t>
            </w:r>
            <w:r w:rsidR="00403E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  хил. лв.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2B1B" w14:textId="77777777" w:rsidR="00D43EFE" w:rsidRPr="00285774" w:rsidRDefault="00D43EFE" w:rsidP="004E420F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Дял в %</w:t>
            </w:r>
          </w:p>
          <w:p w14:paraId="57DAA072" w14:textId="77777777" w:rsidR="00D43EFE" w:rsidRPr="00285774" w:rsidRDefault="00D43EFE" w:rsidP="004E420F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</w:p>
        </w:tc>
      </w:tr>
      <w:tr w:rsidR="008B2287" w:rsidRPr="00285774" w14:paraId="31EF128B" w14:textId="77777777" w:rsidTr="004E420F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7664" w14:textId="77777777" w:rsidR="00D43EFE" w:rsidRPr="00285774" w:rsidRDefault="00D43EFE" w:rsidP="004E420F">
            <w:pPr>
              <w:suppressAutoHyphens/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 xml:space="preserve">Нетни приходи от продажби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9201" w14:textId="77777777" w:rsidR="00D43EFE" w:rsidRPr="00285774" w:rsidRDefault="005111B1" w:rsidP="00F9241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E244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237E" w14:textId="77777777" w:rsidR="00D43EFE" w:rsidRPr="00285774" w:rsidRDefault="005111B1" w:rsidP="00A8456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7BFA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100</w:t>
            </w:r>
          </w:p>
        </w:tc>
      </w:tr>
      <w:tr w:rsidR="008B2287" w:rsidRPr="00285774" w14:paraId="2B83B995" w14:textId="77777777" w:rsidTr="00076299">
        <w:trPr>
          <w:trHeight w:val="2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7278D" w14:textId="77777777" w:rsidR="00D43EFE" w:rsidRPr="00285774" w:rsidRDefault="00D43EFE" w:rsidP="004E420F">
            <w:pPr>
              <w:suppressAutoHyphens/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 xml:space="preserve">Финансови приходи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29E3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9EE3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57DC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7442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</w:tr>
      <w:tr w:rsidR="00D43EFE" w:rsidRPr="00285774" w14:paraId="423BD2B6" w14:textId="77777777" w:rsidTr="004E420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460B" w14:textId="77777777" w:rsidR="00D43EFE" w:rsidRPr="00285774" w:rsidRDefault="00D43EFE" w:rsidP="004E420F">
            <w:pPr>
              <w:suppressAutoHyphens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Приходи общо: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07B0" w14:textId="77777777" w:rsidR="00D43EFE" w:rsidRPr="00285774" w:rsidRDefault="005111B1" w:rsidP="00F9241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AFCC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6FC2E" w14:textId="77777777" w:rsidR="00D43EFE" w:rsidRPr="00285774" w:rsidRDefault="005111B1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26BC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100</w:t>
            </w:r>
          </w:p>
        </w:tc>
      </w:tr>
    </w:tbl>
    <w:p w14:paraId="0C0F76D9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850"/>
        <w:gridCol w:w="1418"/>
        <w:gridCol w:w="992"/>
      </w:tblGrid>
      <w:tr w:rsidR="00121A00" w:rsidRPr="00285774" w14:paraId="6282EB13" w14:textId="77777777" w:rsidTr="00C023A7">
        <w:trPr>
          <w:trHeight w:val="7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176E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C46F" w14:textId="77777777" w:rsidR="00121A00" w:rsidRPr="00285774" w:rsidRDefault="00121A00" w:rsidP="009D7B79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Отчет 3</w:t>
            </w:r>
            <w:r w:rsidR="00CB3AB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9D7B7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03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.202</w:t>
            </w:r>
            <w:r w:rsidR="009D7B7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   хил. лв.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9843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Дял в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162F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Отчет </w:t>
            </w:r>
          </w:p>
          <w:p w14:paraId="37ABECBB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="00CB3AB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9D7B7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03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202</w:t>
            </w:r>
            <w:r w:rsidR="009D7B7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 </w:t>
            </w:r>
          </w:p>
          <w:p w14:paraId="59A58BBD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хил. лв.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847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Дял в %</w:t>
            </w:r>
          </w:p>
          <w:p w14:paraId="64BA84BB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</w:p>
        </w:tc>
      </w:tr>
      <w:tr w:rsidR="00121A00" w:rsidRPr="00285774" w14:paraId="6ABE069E" w14:textId="77777777" w:rsidTr="00C023A7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1C61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Разходи за дейността общо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A555" w14:textId="77777777" w:rsidR="00121A00" w:rsidRPr="00F67929" w:rsidRDefault="00F67929" w:rsidP="00D05B04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7D87" w14:textId="77777777" w:rsidR="00121A00" w:rsidRPr="00285774" w:rsidRDefault="004943FA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D811B" w14:textId="77777777" w:rsidR="00121A00" w:rsidRPr="00285774" w:rsidRDefault="007C399B" w:rsidP="00A84375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B336" w14:textId="77777777" w:rsidR="00121A00" w:rsidRPr="00285774" w:rsidRDefault="007C399B" w:rsidP="00A26D16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100</w:t>
            </w:r>
          </w:p>
        </w:tc>
      </w:tr>
      <w:tr w:rsidR="00121A00" w:rsidRPr="00285774" w14:paraId="0FA0A2C2" w14:textId="77777777" w:rsidTr="00C023A7">
        <w:trPr>
          <w:trHeight w:val="2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B9BC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Финансови разходи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2F12" w14:textId="77777777" w:rsidR="00121A00" w:rsidRPr="00285774" w:rsidRDefault="007C399B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4B436" w14:textId="77777777" w:rsidR="00121A00" w:rsidRPr="00285774" w:rsidRDefault="004943FA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23A08" w14:textId="77777777" w:rsidR="00121A00" w:rsidRPr="00285774" w:rsidRDefault="007C399B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2A82" w14:textId="77777777" w:rsidR="00121A00" w:rsidRPr="00285774" w:rsidRDefault="007C399B" w:rsidP="00B672F7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</w:tr>
      <w:tr w:rsidR="00121A00" w:rsidRPr="00285774" w14:paraId="35BC90DF" w14:textId="77777777" w:rsidTr="00C023A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A4AD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lastRenderedPageBreak/>
              <w:t>Разходи общо: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A3D2A" w14:textId="77777777" w:rsidR="00121A00" w:rsidRPr="00F67929" w:rsidRDefault="00F67929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95690" w14:textId="77777777" w:rsidR="00121A00" w:rsidRPr="00285774" w:rsidRDefault="00121A00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B825" w14:textId="77777777" w:rsidR="00121A00" w:rsidRPr="00285774" w:rsidRDefault="007C399B" w:rsidP="001555D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1139" w14:textId="77777777" w:rsidR="00121A00" w:rsidRPr="00285774" w:rsidRDefault="00121A00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100</w:t>
            </w:r>
          </w:p>
        </w:tc>
      </w:tr>
      <w:tr w:rsidR="006755A3" w:rsidRPr="00285774" w14:paraId="7B803D86" w14:textId="77777777" w:rsidTr="00C023A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9AB3" w14:textId="77777777" w:rsidR="006755A3" w:rsidRPr="00285774" w:rsidRDefault="006755A3" w:rsidP="006755A3">
            <w:pPr>
              <w:suppressAutoHyphens/>
              <w:spacing w:line="240" w:lineRule="atLeast"/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</w:pPr>
            <w:r w:rsidRPr="005A289D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Печалби от промяна на справедливата стойност на инвестиционни имоти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176C8" w14:textId="77777777" w:rsidR="006755A3" w:rsidRDefault="007C399B" w:rsidP="00F6792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</w:t>
            </w:r>
            <w:r w:rsidR="00F67929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49</w:t>
            </w: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A183" w14:textId="77777777" w:rsidR="006755A3" w:rsidRPr="00285774" w:rsidRDefault="006755A3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E3AD" w14:textId="77777777" w:rsidR="006755A3" w:rsidRDefault="00834BBB" w:rsidP="007C399B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</w:t>
            </w:r>
            <w:r w:rsidR="007C399B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51</w:t>
            </w: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2976" w14:textId="77777777" w:rsidR="006755A3" w:rsidRPr="00285774" w:rsidRDefault="006755A3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</w:tr>
      <w:tr w:rsidR="00121A00" w:rsidRPr="00285774" w14:paraId="61B48E31" w14:textId="77777777" w:rsidTr="00C023A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53D96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  <w:t>Финансов резултат преди данъци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595F" w14:textId="77777777" w:rsidR="00121A00" w:rsidRPr="00285774" w:rsidRDefault="00E73528" w:rsidP="00F6792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</w:t>
            </w:r>
            <w:r w:rsidR="00F67929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49</w:t>
            </w: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35A1" w14:textId="77777777" w:rsidR="00121A00" w:rsidRPr="00285774" w:rsidRDefault="00121A00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4116" w14:textId="77777777" w:rsidR="00121A00" w:rsidRPr="00285774" w:rsidRDefault="00E73528" w:rsidP="006E0F0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51</w:t>
            </w: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D141" w14:textId="77777777" w:rsidR="00121A00" w:rsidRPr="00285774" w:rsidRDefault="00121A00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</w:tr>
      <w:tr w:rsidR="00121A00" w:rsidRPr="00285774" w14:paraId="22DFCBA8" w14:textId="77777777" w:rsidTr="00C023A7">
        <w:trPr>
          <w:trHeight w:val="4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D700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  <w:t>Финансов резултат след данъци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7F5BC" w14:textId="77777777" w:rsidR="00121A00" w:rsidRPr="00285774" w:rsidRDefault="00E73528" w:rsidP="00F6792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</w:t>
            </w:r>
            <w:r w:rsidR="00F67929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49</w:t>
            </w: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2C3B" w14:textId="77777777" w:rsidR="00121A00" w:rsidRPr="00285774" w:rsidRDefault="00121A00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7B60" w14:textId="77777777" w:rsidR="00121A00" w:rsidRPr="00285774" w:rsidRDefault="00E73528" w:rsidP="006E0F0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51</w:t>
            </w:r>
            <w:r w:rsidRPr="00763CE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BE3C" w14:textId="77777777" w:rsidR="00121A00" w:rsidRPr="00285774" w:rsidRDefault="00121A00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</w:tr>
    </w:tbl>
    <w:p w14:paraId="7E94A6EC" w14:textId="77777777" w:rsidR="00D43EFE" w:rsidRPr="00285774" w:rsidRDefault="00D43EFE" w:rsidP="00D43EFE">
      <w:pPr>
        <w:ind w:firstLine="708"/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Финансовият резултат към 3</w:t>
      </w:r>
      <w:r w:rsidR="00E537BC">
        <w:rPr>
          <w:rFonts w:ascii="Calibri" w:hAnsi="Calibri" w:cs="Calibri"/>
          <w:bCs/>
          <w:sz w:val="22"/>
          <w:szCs w:val="22"/>
          <w:lang w:val="bg-BG" w:eastAsia="bg-BG"/>
        </w:rPr>
        <w:t>1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.</w:t>
      </w:r>
      <w:r w:rsidR="002F0D86">
        <w:rPr>
          <w:rFonts w:ascii="Calibri" w:hAnsi="Calibri" w:cs="Calibri"/>
          <w:bCs/>
          <w:sz w:val="22"/>
          <w:szCs w:val="22"/>
          <w:lang w:val="bg-BG" w:eastAsia="bg-BG"/>
        </w:rPr>
        <w:t>03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.20</w:t>
      </w:r>
      <w:r w:rsidR="00E85E09" w:rsidRPr="00285774">
        <w:rPr>
          <w:rFonts w:ascii="Calibri" w:hAnsi="Calibri" w:cs="Calibri"/>
          <w:bCs/>
          <w:sz w:val="22"/>
          <w:szCs w:val="22"/>
          <w:lang w:val="bg-BG" w:eastAsia="bg-BG"/>
        </w:rPr>
        <w:t>2</w:t>
      </w:r>
      <w:r w:rsidR="002F0D86">
        <w:rPr>
          <w:rFonts w:ascii="Calibri" w:hAnsi="Calibri" w:cs="Calibri"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г. е </w:t>
      </w:r>
      <w:r w:rsidR="002F0D86">
        <w:rPr>
          <w:rFonts w:ascii="Calibri" w:hAnsi="Calibri" w:cs="Calibri"/>
          <w:bCs/>
          <w:sz w:val="22"/>
          <w:szCs w:val="22"/>
          <w:lang w:val="bg-BG" w:eastAsia="bg-BG"/>
        </w:rPr>
        <w:t>загула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в размер на </w:t>
      </w:r>
      <w:r w:rsidR="0073626F" w:rsidRPr="00D37BC0">
        <w:rPr>
          <w:rFonts w:ascii="Calibri" w:hAnsi="Calibri" w:cs="Calibri"/>
          <w:bCs/>
          <w:sz w:val="22"/>
          <w:szCs w:val="22"/>
          <w:lang w:val="ru-RU" w:eastAsia="bg-BG"/>
        </w:rPr>
        <w:t>49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хил. лв. </w:t>
      </w:r>
    </w:p>
    <w:p w14:paraId="27D4A319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</w:p>
    <w:p w14:paraId="2381B732" w14:textId="77777777" w:rsidR="00D43EFE" w:rsidRPr="00360173" w:rsidRDefault="00D43EFE" w:rsidP="00D43EFE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  <w:r w:rsidRPr="00360173"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  <w:t>СИСТЕМАТИЗИРАНА ФИНАНСОВА ИНФОРМАЦИЯ</w:t>
      </w:r>
    </w:p>
    <w:p w14:paraId="425DCD15" w14:textId="77777777" w:rsidR="00D43EFE" w:rsidRPr="00300D06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</w:p>
    <w:tbl>
      <w:tblPr>
        <w:tblW w:w="893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1560"/>
        <w:gridCol w:w="1559"/>
      </w:tblGrid>
      <w:tr w:rsidR="00D43EFE" w:rsidRPr="00300D06" w14:paraId="7BD0835C" w14:textId="77777777" w:rsidTr="00A63F5C">
        <w:trPr>
          <w:trHeight w:val="36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8941" w14:textId="77777777" w:rsidR="00D43EFE" w:rsidRPr="00360173" w:rsidRDefault="00D43EFE" w:rsidP="004E420F">
            <w:pPr>
              <w:suppressAutoHyphens/>
              <w:ind w:firstLine="34"/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Показател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484C" w14:textId="77777777" w:rsidR="00D43EFE" w:rsidRPr="00360173" w:rsidRDefault="00D43EFE" w:rsidP="00C94966">
            <w:pPr>
              <w:suppressAutoHyphens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="002D6BF7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610BE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03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2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="00416CC8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2</w:t>
            </w:r>
            <w:r w:rsidR="00610BE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216299" w14:textId="77777777" w:rsidR="00D43EFE" w:rsidRPr="00360173" w:rsidRDefault="00D43EFE" w:rsidP="00C94966">
            <w:pPr>
              <w:suppressAutoHyphens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="00BF626C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610BE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03</w:t>
            </w:r>
            <w:r w:rsidR="00692EAA" w:rsidRPr="00360173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.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20</w:t>
            </w:r>
            <w:r w:rsidR="00F413EB" w:rsidRPr="00360173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2</w:t>
            </w:r>
            <w:r w:rsidR="00610BE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г.   </w:t>
            </w:r>
          </w:p>
        </w:tc>
      </w:tr>
      <w:tr w:rsidR="002973EE" w:rsidRPr="00300D06" w14:paraId="3909CFEB" w14:textId="77777777" w:rsidTr="006543B5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6353" w14:textId="77777777" w:rsidR="002973EE" w:rsidRPr="00360173" w:rsidRDefault="002973EE" w:rsidP="002973EE">
            <w:pPr>
              <w:suppressAutoHyphens/>
              <w:ind w:firstLine="34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Приходи от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дейността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(хил.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B2737" w14:textId="77777777" w:rsidR="002973EE" w:rsidRPr="00360173" w:rsidRDefault="00610BE6" w:rsidP="000F664C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C4E6F" w14:textId="77777777" w:rsidR="002973EE" w:rsidRPr="00360173" w:rsidRDefault="00610BE6" w:rsidP="002973EE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</w:t>
            </w:r>
          </w:p>
        </w:tc>
      </w:tr>
      <w:tr w:rsidR="002973EE" w:rsidRPr="00300D06" w14:paraId="284E8BEB" w14:textId="77777777" w:rsidTr="006543B5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2ACF" w14:textId="77777777" w:rsidR="002973EE" w:rsidRPr="00360173" w:rsidRDefault="002973EE" w:rsidP="002973EE">
            <w:pPr>
              <w:ind w:firstLine="34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Печалба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загуба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дейността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(хил.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92922" w14:textId="77777777" w:rsidR="002973EE" w:rsidRPr="00360173" w:rsidRDefault="00610BE6" w:rsidP="00FC0C32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</w:t>
            </w:r>
            <w:r w:rsidR="00FC0C32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49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BC056" w14:textId="77777777" w:rsidR="002973EE" w:rsidRPr="00360173" w:rsidRDefault="00610BE6" w:rsidP="002973EE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(51)</w:t>
            </w:r>
          </w:p>
        </w:tc>
      </w:tr>
      <w:tr w:rsidR="00863DC1" w:rsidRPr="00300D06" w14:paraId="658EC32E" w14:textId="77777777" w:rsidTr="006543B5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86C4" w14:textId="77777777" w:rsidR="00863DC1" w:rsidRPr="00360173" w:rsidRDefault="00863DC1" w:rsidP="00863DC1">
            <w:pPr>
              <w:suppressAutoHyphens/>
              <w:ind w:firstLine="34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Нетна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печалба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загуба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(хил.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10995" w14:textId="77777777" w:rsidR="00863DC1" w:rsidRPr="00360173" w:rsidRDefault="00610BE6" w:rsidP="00FC0C32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</w:t>
            </w:r>
            <w:r w:rsidR="00FC0C32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49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9870E" w14:textId="77777777" w:rsidR="00863DC1" w:rsidRPr="00360173" w:rsidRDefault="00610BE6" w:rsidP="00863DC1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(51)</w:t>
            </w:r>
          </w:p>
        </w:tc>
      </w:tr>
      <w:tr w:rsidR="00863DC1" w:rsidRPr="00300D06" w14:paraId="19DDB02C" w14:textId="77777777" w:rsidTr="00A63F5C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A42A" w14:textId="77777777" w:rsidR="00863DC1" w:rsidRPr="00360173" w:rsidRDefault="00863DC1" w:rsidP="00863DC1">
            <w:pPr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0A625" w14:textId="77777777" w:rsidR="00863DC1" w:rsidRPr="00360173" w:rsidRDefault="00863DC1" w:rsidP="00863DC1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8679" w14:textId="77777777" w:rsidR="00863DC1" w:rsidRPr="00360173" w:rsidRDefault="00863DC1" w:rsidP="00863DC1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63DC1" w:rsidRPr="00300D06" w14:paraId="5508B2DC" w14:textId="77777777" w:rsidTr="00A63F5C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34CA" w14:textId="77777777" w:rsidR="00863DC1" w:rsidRPr="00360173" w:rsidRDefault="00863DC1" w:rsidP="00863DC1">
            <w:pPr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Показател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21B0D" w14:textId="77777777" w:rsidR="00863DC1" w:rsidRPr="00360173" w:rsidRDefault="00863DC1" w:rsidP="00C94966">
            <w:pPr>
              <w:suppressAutoHyphens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="002D6BF7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C9496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03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.202</w:t>
            </w:r>
            <w:r w:rsidR="00C9496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8A40" w14:textId="77777777" w:rsidR="00863DC1" w:rsidRPr="00360173" w:rsidRDefault="00863DC1" w:rsidP="00C94966">
            <w:pPr>
              <w:suppressAutoHyphens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31.12.20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2</w:t>
            </w:r>
            <w:r w:rsidR="00C9496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г.</w:t>
            </w:r>
          </w:p>
        </w:tc>
      </w:tr>
      <w:tr w:rsidR="00B835DA" w:rsidRPr="00300D06" w14:paraId="104759EF" w14:textId="77777777" w:rsidTr="006543B5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7431" w14:textId="77777777" w:rsidR="00B835DA" w:rsidRPr="00360173" w:rsidRDefault="00B835DA" w:rsidP="00B835DA">
            <w:pPr>
              <w:ind w:firstLine="34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Сума на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активите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(хил.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06693" w14:textId="77777777" w:rsidR="00B835DA" w:rsidRPr="00360173" w:rsidRDefault="00B835DA" w:rsidP="005D53CD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10</w:t>
            </w:r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D53CD"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BE905" w14:textId="77777777" w:rsidR="00B835DA" w:rsidRPr="00360173" w:rsidRDefault="00B835DA" w:rsidP="00B835DA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10</w:t>
            </w:r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337</w:t>
            </w:r>
          </w:p>
        </w:tc>
      </w:tr>
      <w:tr w:rsidR="00B835DA" w:rsidRPr="00300D06" w14:paraId="6DB2985E" w14:textId="77777777" w:rsidTr="006543B5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D5B5" w14:textId="77777777" w:rsidR="00B835DA" w:rsidRPr="00360173" w:rsidRDefault="00B835DA" w:rsidP="00B835DA">
            <w:pPr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Собствен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капитал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хил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036DB" w14:textId="77777777" w:rsidR="00B835DA" w:rsidRPr="00591132" w:rsidRDefault="00B835DA" w:rsidP="00591132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10 </w:t>
            </w:r>
            <w:r w:rsidR="005D53CD"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08</w:t>
            </w:r>
            <w:r w:rsidR="00591132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C52894" w14:textId="77777777" w:rsidR="00B835DA" w:rsidRPr="00360173" w:rsidRDefault="00B835DA" w:rsidP="00B835DA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10 135</w:t>
            </w:r>
          </w:p>
        </w:tc>
      </w:tr>
      <w:tr w:rsidR="00B835DA" w:rsidRPr="00300D06" w14:paraId="458EA12D" w14:textId="77777777" w:rsidTr="006543B5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4FD9" w14:textId="77777777" w:rsidR="00B835DA" w:rsidRPr="00360173" w:rsidRDefault="00B835DA" w:rsidP="00B835DA">
            <w:pPr>
              <w:suppressAutoHyphens/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Брой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акции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021DB" w14:textId="77777777" w:rsidR="00B835DA" w:rsidRPr="00360173" w:rsidRDefault="00B835DA" w:rsidP="00B835DA">
            <w:pPr>
              <w:suppressAutoHyphens/>
              <w:ind w:firstLine="34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8 050 613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FA94D" w14:textId="77777777" w:rsidR="00B835DA" w:rsidRPr="00360173" w:rsidRDefault="00B835DA" w:rsidP="00B835DA">
            <w:pPr>
              <w:suppressAutoHyphens/>
              <w:ind w:firstLine="34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8 050 613</w:t>
            </w:r>
          </w:p>
        </w:tc>
      </w:tr>
      <w:tr w:rsidR="00B835DA" w:rsidRPr="00300D06" w14:paraId="2C54E650" w14:textId="77777777" w:rsidTr="006543B5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A09A7" w14:textId="77777777" w:rsidR="00B835DA" w:rsidRPr="00360173" w:rsidRDefault="00B835DA" w:rsidP="00B835DA">
            <w:pPr>
              <w:suppressAutoHyphens/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Текущи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активи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хил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0F806" w14:textId="77777777" w:rsidR="00B835DA" w:rsidRPr="00360173" w:rsidRDefault="00B835DA" w:rsidP="005D53CD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2 </w:t>
            </w:r>
            <w:r w:rsidR="005D53CD"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7EC67" w14:textId="77777777" w:rsidR="00B835DA" w:rsidRPr="00360173" w:rsidRDefault="00B835DA" w:rsidP="00B835DA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2 546</w:t>
            </w:r>
          </w:p>
        </w:tc>
      </w:tr>
      <w:tr w:rsidR="00B835DA" w:rsidRPr="00285774" w14:paraId="4E9FB42F" w14:textId="77777777" w:rsidTr="006543B5">
        <w:trPr>
          <w:trHeight w:val="196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5C0F" w14:textId="77777777" w:rsidR="00B835DA" w:rsidRPr="00360173" w:rsidRDefault="00B835DA" w:rsidP="00B835DA">
            <w:pPr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Текущи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пасиви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хил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C92DA" w14:textId="77777777" w:rsidR="00B835DA" w:rsidRPr="00591132" w:rsidRDefault="00B835DA" w:rsidP="00591132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20</w:t>
            </w:r>
            <w:r w:rsidR="00591132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A8226" w14:textId="77777777" w:rsidR="00B835DA" w:rsidRPr="00360173" w:rsidRDefault="00B835DA" w:rsidP="00B835DA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202</w:t>
            </w:r>
          </w:p>
        </w:tc>
      </w:tr>
    </w:tbl>
    <w:p w14:paraId="5FD05ABF" w14:textId="77777777" w:rsidR="00BE1232" w:rsidRPr="00285774" w:rsidRDefault="00BE1232" w:rsidP="00D43EFE">
      <w:pPr>
        <w:jc w:val="both"/>
        <w:rPr>
          <w:rFonts w:ascii="Calibri" w:hAnsi="Calibri" w:cs="Calibri"/>
          <w:bCs/>
          <w:sz w:val="22"/>
          <w:szCs w:val="22"/>
        </w:rPr>
      </w:pPr>
    </w:p>
    <w:p w14:paraId="57362BE6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Общият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размер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активите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3</w:t>
      </w:r>
      <w:r w:rsidR="001A47B7">
        <w:rPr>
          <w:rFonts w:ascii="Calibri" w:hAnsi="Calibri" w:cs="Calibri"/>
          <w:bCs/>
          <w:sz w:val="22"/>
          <w:szCs w:val="22"/>
          <w:lang w:val="bg-BG"/>
        </w:rPr>
        <w:t>1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  <w:r w:rsidR="007D03E8">
        <w:rPr>
          <w:rFonts w:ascii="Calibri" w:hAnsi="Calibri" w:cs="Calibri"/>
          <w:bCs/>
          <w:sz w:val="22"/>
          <w:szCs w:val="22"/>
          <w:lang w:val="ru-RU"/>
        </w:rPr>
        <w:t>03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.20</w:t>
      </w:r>
      <w:r w:rsidR="00E4184F" w:rsidRPr="00285774">
        <w:rPr>
          <w:rFonts w:ascii="Calibri" w:hAnsi="Calibri" w:cs="Calibri"/>
          <w:bCs/>
          <w:sz w:val="22"/>
          <w:szCs w:val="22"/>
          <w:lang w:val="bg-BG"/>
        </w:rPr>
        <w:t>2</w:t>
      </w:r>
      <w:r w:rsidR="007D03E8">
        <w:rPr>
          <w:rFonts w:ascii="Calibri" w:hAnsi="Calibri" w:cs="Calibri"/>
          <w:bCs/>
          <w:sz w:val="22"/>
          <w:szCs w:val="22"/>
          <w:lang w:val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г. е </w:t>
      </w:r>
      <w:r w:rsidR="00AB63E2">
        <w:rPr>
          <w:rFonts w:ascii="Calibri" w:hAnsi="Calibri" w:cs="Calibri"/>
          <w:bCs/>
          <w:sz w:val="22"/>
          <w:szCs w:val="22"/>
          <w:lang w:val="ru-RU"/>
        </w:rPr>
        <w:t>10</w:t>
      </w:r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="007D03E8">
        <w:rPr>
          <w:rFonts w:ascii="Calibri" w:hAnsi="Calibri" w:cs="Calibri"/>
          <w:bCs/>
          <w:sz w:val="22"/>
          <w:szCs w:val="22"/>
          <w:lang w:val="ru-RU"/>
        </w:rPr>
        <w:t>288</w:t>
      </w:r>
      <w:r w:rsidR="00F11972"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.,</w:t>
      </w:r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proofErr w:type="gram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които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 </w:t>
      </w:r>
      <w:r w:rsidR="007D03E8">
        <w:rPr>
          <w:rFonts w:ascii="Calibri" w:hAnsi="Calibri" w:cs="Calibri"/>
          <w:bCs/>
          <w:sz w:val="22"/>
          <w:szCs w:val="22"/>
          <w:lang w:val="bg-BG"/>
        </w:rPr>
        <w:t>8</w:t>
      </w:r>
      <w:proofErr w:type="gramEnd"/>
      <w:r w:rsidR="007D03E8">
        <w:rPr>
          <w:rFonts w:ascii="Calibri" w:hAnsi="Calibri" w:cs="Calibri"/>
          <w:bCs/>
          <w:sz w:val="22"/>
          <w:szCs w:val="22"/>
          <w:lang w:val="bg-BG"/>
        </w:rPr>
        <w:t xml:space="preserve"> 029</w:t>
      </w:r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. е </w:t>
      </w:r>
      <w:proofErr w:type="spell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стойността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инвестиционните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имоти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bg-BG"/>
        </w:rPr>
        <w:t>, п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аричните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средства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размер на </w:t>
      </w:r>
      <w:r w:rsidR="00555FD8">
        <w:rPr>
          <w:rFonts w:ascii="Calibri" w:hAnsi="Calibri" w:cs="Calibri"/>
          <w:bCs/>
          <w:sz w:val="22"/>
          <w:szCs w:val="22"/>
          <w:lang w:val="ru-RU"/>
        </w:rPr>
        <w:t xml:space="preserve">2 </w:t>
      </w:r>
      <w:r w:rsidR="007D03E8">
        <w:rPr>
          <w:rFonts w:ascii="Calibri" w:hAnsi="Calibri" w:cs="Calibri"/>
          <w:bCs/>
          <w:sz w:val="22"/>
          <w:szCs w:val="22"/>
          <w:lang w:val="ru-RU"/>
        </w:rPr>
        <w:t>159</w:t>
      </w:r>
      <w:r w:rsidR="003726E4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  <w:r w:rsidR="00BE1232" w:rsidRPr="00285774">
        <w:rPr>
          <w:rFonts w:ascii="Calibri" w:hAnsi="Calibri" w:cs="Calibri"/>
          <w:bCs/>
          <w:sz w:val="22"/>
          <w:szCs w:val="22"/>
          <w:lang w:val="bg-BG"/>
        </w:rPr>
        <w:t xml:space="preserve">, търговски и други вземанията – </w:t>
      </w:r>
      <w:r w:rsidR="007D03E8">
        <w:rPr>
          <w:rFonts w:ascii="Calibri" w:hAnsi="Calibri" w:cs="Calibri"/>
          <w:bCs/>
          <w:sz w:val="22"/>
          <w:szCs w:val="22"/>
          <w:lang w:val="bg-BG"/>
        </w:rPr>
        <w:t>100</w:t>
      </w:r>
      <w:r w:rsidR="00BE1232" w:rsidRPr="00285774">
        <w:rPr>
          <w:rFonts w:ascii="Calibri" w:hAnsi="Calibri" w:cs="Calibri"/>
          <w:bCs/>
          <w:sz w:val="22"/>
          <w:szCs w:val="22"/>
          <w:lang w:val="bg-BG"/>
        </w:rPr>
        <w:t xml:space="preserve"> хил. лв.</w:t>
      </w:r>
      <w:r w:rsidR="00E4184F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</w:p>
    <w:p w14:paraId="543F0094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Собственият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капитал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3</w:t>
      </w:r>
      <w:r w:rsidR="00FB6B36">
        <w:rPr>
          <w:rFonts w:ascii="Calibri" w:hAnsi="Calibri" w:cs="Calibri"/>
          <w:bCs/>
          <w:sz w:val="22"/>
          <w:szCs w:val="22"/>
          <w:lang w:val="bg-BG"/>
        </w:rPr>
        <w:t>1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  <w:r w:rsidR="005C4C4C">
        <w:rPr>
          <w:rFonts w:ascii="Calibri" w:hAnsi="Calibri" w:cs="Calibri"/>
          <w:bCs/>
          <w:sz w:val="22"/>
          <w:szCs w:val="22"/>
          <w:lang w:val="ru-RU"/>
        </w:rPr>
        <w:t>03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.20</w:t>
      </w:r>
      <w:r w:rsidR="00E4184F" w:rsidRPr="00285774">
        <w:rPr>
          <w:rFonts w:ascii="Calibri" w:hAnsi="Calibri" w:cs="Calibri"/>
          <w:bCs/>
          <w:sz w:val="22"/>
          <w:szCs w:val="22"/>
          <w:lang w:val="bg-BG"/>
        </w:rPr>
        <w:t>2</w:t>
      </w:r>
      <w:r w:rsidR="005C4C4C">
        <w:rPr>
          <w:rFonts w:ascii="Calibri" w:hAnsi="Calibri" w:cs="Calibri"/>
          <w:bCs/>
          <w:sz w:val="22"/>
          <w:szCs w:val="22"/>
          <w:lang w:val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г.  е в размер на </w:t>
      </w:r>
      <w:r w:rsidR="006E061C">
        <w:rPr>
          <w:rFonts w:ascii="Calibri" w:hAnsi="Calibri" w:cs="Calibri"/>
          <w:bCs/>
          <w:sz w:val="22"/>
          <w:szCs w:val="22"/>
          <w:lang w:val="ru-RU"/>
        </w:rPr>
        <w:t xml:space="preserve">10 </w:t>
      </w:r>
      <w:r w:rsidR="001E4C09">
        <w:rPr>
          <w:rFonts w:ascii="Calibri" w:hAnsi="Calibri" w:cs="Calibri"/>
          <w:bCs/>
          <w:sz w:val="22"/>
          <w:szCs w:val="22"/>
          <w:lang w:val="ru-RU"/>
        </w:rPr>
        <w:t>08</w:t>
      </w:r>
      <w:r w:rsidR="00591132" w:rsidRPr="00D37BC0">
        <w:rPr>
          <w:rFonts w:ascii="Calibri" w:hAnsi="Calibri" w:cs="Calibri"/>
          <w:bCs/>
          <w:sz w:val="22"/>
          <w:szCs w:val="22"/>
          <w:lang w:val="ru-RU"/>
        </w:rPr>
        <w:t>6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.,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основният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капитал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възлиза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r w:rsidR="004D2EAC">
        <w:rPr>
          <w:rFonts w:ascii="Calibri" w:hAnsi="Calibri" w:cs="Calibri"/>
          <w:bCs/>
          <w:sz w:val="22"/>
          <w:szCs w:val="22"/>
          <w:lang w:val="ru-RU"/>
        </w:rPr>
        <w:t>8</w:t>
      </w:r>
      <w:r w:rsidR="002D3A1F" w:rsidRPr="00285774">
        <w:rPr>
          <w:rFonts w:ascii="Calibri" w:hAnsi="Calibri" w:cs="Calibri"/>
          <w:bCs/>
          <w:sz w:val="22"/>
          <w:szCs w:val="22"/>
          <w:lang w:val="ru-RU"/>
        </w:rPr>
        <w:t xml:space="preserve"> 0</w:t>
      </w:r>
      <w:r w:rsidR="004D2EAC">
        <w:rPr>
          <w:rFonts w:ascii="Calibri" w:hAnsi="Calibri" w:cs="Calibri"/>
          <w:bCs/>
          <w:sz w:val="22"/>
          <w:szCs w:val="22"/>
          <w:lang w:val="ru-RU"/>
        </w:rPr>
        <w:t>51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финансовият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резултат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текущия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период е </w:t>
      </w:r>
      <w:proofErr w:type="spellStart"/>
      <w:r w:rsidR="001E4C09">
        <w:rPr>
          <w:rFonts w:ascii="Calibri" w:hAnsi="Calibri" w:cs="Calibri"/>
          <w:bCs/>
          <w:sz w:val="22"/>
          <w:szCs w:val="22"/>
          <w:lang w:val="ru-RU"/>
        </w:rPr>
        <w:t>загуба</w:t>
      </w:r>
      <w:proofErr w:type="spellEnd"/>
      <w:r w:rsidR="001E4C09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в размер на </w:t>
      </w:r>
      <w:r w:rsidR="00591132" w:rsidRPr="00D37BC0">
        <w:rPr>
          <w:rFonts w:ascii="Calibri" w:hAnsi="Calibri" w:cs="Calibri"/>
          <w:bCs/>
          <w:sz w:val="22"/>
          <w:szCs w:val="22"/>
          <w:lang w:val="ru-RU"/>
        </w:rPr>
        <w:t>49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>неразпределената</w:t>
      </w:r>
      <w:proofErr w:type="spellEnd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>печалба</w:t>
      </w:r>
      <w:proofErr w:type="spellEnd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размер на </w:t>
      </w:r>
      <w:r w:rsidR="00B74F8C">
        <w:rPr>
          <w:rFonts w:ascii="Calibri" w:hAnsi="Calibri" w:cs="Calibri"/>
          <w:bCs/>
          <w:sz w:val="22"/>
          <w:szCs w:val="22"/>
          <w:lang w:val="ru-RU"/>
        </w:rPr>
        <w:t>1 362</w:t>
      </w:r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</w:p>
    <w:p w14:paraId="1006086F" w14:textId="77777777" w:rsidR="00FC4906" w:rsidRPr="00285774" w:rsidRDefault="00FC4906" w:rsidP="00D43EFE">
      <w:pPr>
        <w:jc w:val="both"/>
        <w:rPr>
          <w:rFonts w:ascii="Calibri" w:hAnsi="Calibri" w:cs="Calibri"/>
          <w:bCs/>
          <w:sz w:val="22"/>
          <w:szCs w:val="22"/>
          <w:lang w:val="ru-RU"/>
        </w:rPr>
      </w:pPr>
    </w:p>
    <w:p w14:paraId="527E358F" w14:textId="77777777" w:rsidR="00D43EFE" w:rsidRPr="00285774" w:rsidRDefault="00DA1397" w:rsidP="00D43EFE">
      <w:pPr>
        <w:suppressAutoHyphens/>
        <w:ind w:right="198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5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 УПРАВЛЕНИЕ НА РИСКА</w:t>
      </w:r>
    </w:p>
    <w:p w14:paraId="4ED9815F" w14:textId="77777777" w:rsidR="00D43EFE" w:rsidRPr="00285774" w:rsidRDefault="00D43EFE" w:rsidP="00D43EFE">
      <w:pPr>
        <w:suppressAutoHyphens/>
        <w:ind w:left="120" w:right="198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</w:p>
    <w:p w14:paraId="0944EBDD" w14:textId="77777777" w:rsidR="00D43EFE" w:rsidRPr="00285774" w:rsidRDefault="00D43EFE" w:rsidP="00D43EFE">
      <w:pPr>
        <w:suppressAutoHyphens/>
        <w:ind w:left="120" w:right="198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Управлението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bCs/>
          <w:sz w:val="22"/>
          <w:szCs w:val="22"/>
          <w:lang w:val="ru-RU"/>
        </w:rPr>
        <w:t>на риска</w:t>
      </w:r>
      <w:proofErr w:type="gram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е неделима част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управленската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политика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ръководството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Рискът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може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да се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дефинира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като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несигурността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bg-BG"/>
        </w:rPr>
        <w:t>на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дадена прогноза да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съвпадне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действителността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под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влиянието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различни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фактори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</w:p>
    <w:p w14:paraId="3419224D" w14:textId="77777777" w:rsidR="00D43EFE" w:rsidRPr="00285774" w:rsidRDefault="00D43EFE" w:rsidP="00D43EFE">
      <w:pPr>
        <w:suppressAutoHyphens/>
        <w:ind w:left="120" w:right="198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Рисковете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оказващи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влияние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обособени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зависимост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пораждащите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ги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фактори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възможността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рискът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бъде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елиминиран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ограничаван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или не.</w:t>
      </w:r>
    </w:p>
    <w:p w14:paraId="4345B379" w14:textId="77777777" w:rsidR="00D43EFE" w:rsidRPr="00285774" w:rsidRDefault="00D43EFE" w:rsidP="00D43EFE">
      <w:pPr>
        <w:suppressAutoHyphens/>
        <w:ind w:left="120" w:right="198" w:firstLine="709"/>
        <w:rPr>
          <w:rFonts w:ascii="Calibri" w:hAnsi="Calibri" w:cs="Calibri"/>
          <w:bCs/>
          <w:sz w:val="22"/>
          <w:szCs w:val="22"/>
          <w:lang w:val="bg-BG"/>
        </w:rPr>
      </w:pP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Описание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основните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несигурности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пред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изправено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"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Риъл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Булленд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" АД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през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следващия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финансов период</w:t>
      </w:r>
      <w:r w:rsidRPr="00285774">
        <w:rPr>
          <w:rFonts w:ascii="Calibri" w:hAnsi="Calibri" w:cs="Calibri"/>
          <w:bCs/>
          <w:sz w:val="22"/>
          <w:szCs w:val="22"/>
          <w:lang w:val="bg-BG"/>
        </w:rPr>
        <w:t>:</w:t>
      </w:r>
    </w:p>
    <w:p w14:paraId="6402F814" w14:textId="77777777" w:rsidR="00D43EFE" w:rsidRPr="00285774" w:rsidRDefault="00D43EFE" w:rsidP="00D43EFE">
      <w:pPr>
        <w:suppressAutoHyphens/>
        <w:ind w:right="198"/>
        <w:rPr>
          <w:rFonts w:ascii="Calibri" w:hAnsi="Calibri" w:cs="Calibri"/>
          <w:b/>
          <w:bCs/>
          <w:sz w:val="22"/>
          <w:szCs w:val="22"/>
          <w:lang w:val="bg-BG" w:eastAsia="bg-BG"/>
        </w:rPr>
      </w:pPr>
    </w:p>
    <w:p w14:paraId="60F41046" w14:textId="77777777" w:rsidR="00D43EFE" w:rsidRPr="00285774" w:rsidRDefault="00DA1397" w:rsidP="00D43EFE">
      <w:pPr>
        <w:suppressAutoHyphens/>
        <w:ind w:right="198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5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.1. СИСТЕМАТИЧНИ РИСКОВЕ</w:t>
      </w:r>
    </w:p>
    <w:p w14:paraId="0E2134AF" w14:textId="77777777" w:rsidR="00D43EFE" w:rsidRPr="00285774" w:rsidRDefault="00D43EFE" w:rsidP="00D43EFE">
      <w:pPr>
        <w:suppressAutoHyphens/>
        <w:ind w:right="198"/>
        <w:jc w:val="center"/>
        <w:rPr>
          <w:rFonts w:ascii="Calibri" w:hAnsi="Calibri" w:cs="Calibri"/>
          <w:b/>
          <w:bCs/>
          <w:i/>
          <w:sz w:val="22"/>
          <w:szCs w:val="22"/>
          <w:lang w:val="bg-BG"/>
        </w:rPr>
      </w:pPr>
    </w:p>
    <w:p w14:paraId="2AEEDC97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Систематичните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тези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действат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извън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емитента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оказват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ключово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влияние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дейността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Те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свързани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макроикономическата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среда,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политическата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стабилност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процеси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регионалното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развитие и др.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Основното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ограничаване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влиянието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систематичните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събирането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анализирането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текущата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информация,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както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използването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прогнози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независими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източници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системата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цяло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D37BC0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D37BC0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D37BC0">
        <w:rPr>
          <w:rFonts w:ascii="Calibri" w:hAnsi="Calibri" w:cs="Calibri"/>
          <w:sz w:val="22"/>
          <w:szCs w:val="22"/>
          <w:lang w:val="ru-RU"/>
        </w:rPr>
        <w:t>определя</w:t>
      </w:r>
      <w:proofErr w:type="spellEnd"/>
      <w:r w:rsidRPr="00D37BC0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D37BC0">
        <w:rPr>
          <w:rFonts w:ascii="Calibri" w:hAnsi="Calibri" w:cs="Calibri"/>
          <w:sz w:val="22"/>
          <w:szCs w:val="22"/>
          <w:lang w:val="ru-RU"/>
        </w:rPr>
        <w:t>следните</w:t>
      </w:r>
      <w:proofErr w:type="spellEnd"/>
      <w:r w:rsidRPr="00D37BC0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D37BC0">
        <w:rPr>
          <w:rFonts w:ascii="Calibri" w:hAnsi="Calibri" w:cs="Calibri"/>
          <w:sz w:val="22"/>
          <w:szCs w:val="22"/>
          <w:lang w:val="ru-RU"/>
        </w:rPr>
        <w:t>систематични</w:t>
      </w:r>
      <w:proofErr w:type="spellEnd"/>
      <w:r w:rsidRPr="00D37BC0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D37BC0">
        <w:rPr>
          <w:rFonts w:ascii="Calibri" w:hAnsi="Calibri" w:cs="Calibri"/>
          <w:sz w:val="22"/>
          <w:szCs w:val="22"/>
          <w:lang w:val="ru-RU"/>
        </w:rPr>
        <w:t>рискове</w:t>
      </w:r>
      <w:proofErr w:type="spellEnd"/>
      <w:r w:rsidRPr="00D37BC0">
        <w:rPr>
          <w:rFonts w:ascii="Calibri" w:hAnsi="Calibri" w:cs="Calibri"/>
          <w:sz w:val="22"/>
          <w:szCs w:val="22"/>
          <w:lang w:val="ru-RU"/>
        </w:rPr>
        <w:t>:</w:t>
      </w:r>
    </w:p>
    <w:p w14:paraId="28915D7B" w14:textId="77777777" w:rsidR="00D43EFE" w:rsidRPr="00285774" w:rsidRDefault="00D43EFE" w:rsidP="00D43EFE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>политически риск;</w:t>
      </w:r>
    </w:p>
    <w:p w14:paraId="6BBBFC3E" w14:textId="77777777" w:rsidR="00D43EFE" w:rsidRPr="00285774" w:rsidRDefault="00D43EFE" w:rsidP="00D43EFE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инфлационен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риск;</w:t>
      </w:r>
    </w:p>
    <w:p w14:paraId="25C8B815" w14:textId="77777777" w:rsidR="00D43EFE" w:rsidRPr="00285774" w:rsidRDefault="00D43EFE" w:rsidP="00D43EFE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риск,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свързан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промени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данъчните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закони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>.</w:t>
      </w:r>
    </w:p>
    <w:p w14:paraId="204AC44A" w14:textId="77777777" w:rsidR="00D43EFE" w:rsidRPr="00285774" w:rsidRDefault="00D43EFE" w:rsidP="00D43EFE">
      <w:pPr>
        <w:ind w:left="720"/>
        <w:rPr>
          <w:rFonts w:ascii="Calibri" w:hAnsi="Calibri" w:cs="Calibri"/>
          <w:sz w:val="22"/>
          <w:szCs w:val="22"/>
          <w:lang w:val="ru-RU"/>
        </w:rPr>
      </w:pPr>
    </w:p>
    <w:p w14:paraId="6F59095F" w14:textId="77777777" w:rsidR="00D43EFE" w:rsidRPr="00285774" w:rsidRDefault="00D43EFE" w:rsidP="00D43EF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lastRenderedPageBreak/>
        <w:t>Политическият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отразява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влиянието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политическите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процеси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страната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стопанския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инвстиционния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процес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частност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възвращаемостта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инвестициите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</w:p>
    <w:p w14:paraId="45C96E15" w14:textId="77777777" w:rsidR="00D43EFE" w:rsidRPr="00285774" w:rsidRDefault="00D43EFE" w:rsidP="00D43EF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Макроикономическият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се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характеризира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чрез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основните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макроикономически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индикатори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: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брутен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вътрешен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продукт,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валутни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курсове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лихвени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равнища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инфлация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бюджетен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дефицит, безработица и др. </w:t>
      </w:r>
    </w:p>
    <w:p w14:paraId="5B90FD1C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Лихвеният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свързан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възможни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евентуални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негативни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промени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лихвените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нива,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установени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институции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Република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България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. </w:t>
      </w:r>
    </w:p>
    <w:p w14:paraId="644B0113" w14:textId="77777777" w:rsidR="007102A1" w:rsidRPr="00285774" w:rsidRDefault="007102A1" w:rsidP="00D43EFE">
      <w:pPr>
        <w:jc w:val="both"/>
        <w:rPr>
          <w:rFonts w:ascii="Calibri" w:hAnsi="Calibri" w:cs="Calibri"/>
          <w:bCs/>
          <w:sz w:val="22"/>
          <w:szCs w:val="22"/>
          <w:lang w:val="bg-BG"/>
        </w:rPr>
      </w:pPr>
    </w:p>
    <w:p w14:paraId="2C7510F1" w14:textId="77777777" w:rsidR="00D43EFE" w:rsidRPr="00285774" w:rsidRDefault="00DA1397" w:rsidP="00D43EFE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ru-RU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/>
        </w:rPr>
        <w:t>5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/>
        </w:rPr>
        <w:t>.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ru-RU"/>
        </w:rPr>
        <w:t>2. НЕСИСТЕМАТИЧНИ РИСКОВЕ</w:t>
      </w:r>
    </w:p>
    <w:p w14:paraId="2217BBA1" w14:textId="77777777" w:rsidR="00D43EFE" w:rsidRPr="00285774" w:rsidRDefault="00D43EFE" w:rsidP="00D43EFE">
      <w:pPr>
        <w:suppressAutoHyphens/>
        <w:ind w:left="284" w:right="340" w:firstLine="709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В хода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обичайната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стопанска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дейност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е изложено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различни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финансови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, най-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важните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: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пазарен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(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включващ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валутен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риск, риск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промяна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справедливата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стойност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ценови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риск),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кредитен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риск, ликвиден риск и риск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лихвено-обвързани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Текущо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наблюдават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за да се определят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адекватни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цени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активите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както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да се оценят адекватно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обстоятелства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правените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него инвестиции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формите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поддържане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свободните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ликвидни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средства, без да се допуска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неоправдана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концентрация на даден риск. </w:t>
      </w:r>
    </w:p>
    <w:p w14:paraId="0385CD4F" w14:textId="77777777" w:rsidR="00D43EFE" w:rsidRPr="00285774" w:rsidRDefault="00D43EFE" w:rsidP="00D43EFE">
      <w:pPr>
        <w:suppressAutoHyphens/>
        <w:ind w:left="284" w:right="340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</w:p>
    <w:p w14:paraId="3F21FD8E" w14:textId="77777777" w:rsidR="00D43EFE" w:rsidRPr="00285774" w:rsidRDefault="00D43EFE" w:rsidP="00D43EFE">
      <w:pPr>
        <w:suppressAutoHyphens/>
        <w:ind w:right="118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Пазарен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</w:t>
      </w:r>
    </w:p>
    <w:p w14:paraId="160910B9" w14:textId="77777777" w:rsidR="00D43EFE" w:rsidRPr="00285774" w:rsidRDefault="00D43EFE" w:rsidP="00D43EFE">
      <w:pPr>
        <w:suppressAutoHyphens/>
        <w:ind w:left="120" w:right="238" w:firstLine="709"/>
        <w:jc w:val="both"/>
        <w:rPr>
          <w:rFonts w:ascii="Calibri" w:hAnsi="Calibri" w:cs="Calibri"/>
          <w:bCs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Пазарният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включва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:</w:t>
      </w:r>
    </w:p>
    <w:p w14:paraId="74D33E67" w14:textId="77777777" w:rsidR="00D43EFE" w:rsidRPr="00285774" w:rsidRDefault="00D43EFE" w:rsidP="00D43EFE">
      <w:pPr>
        <w:suppressAutoHyphens/>
        <w:ind w:left="120" w:right="238" w:firstLine="709"/>
        <w:jc w:val="both"/>
        <w:rPr>
          <w:rFonts w:ascii="Calibri" w:hAnsi="Calibri" w:cs="Calibri"/>
          <w:bCs/>
          <w:sz w:val="22"/>
          <w:szCs w:val="22"/>
          <w:lang w:val="bg-BG"/>
        </w:rPr>
      </w:pPr>
    </w:p>
    <w:p w14:paraId="670DF445" w14:textId="77777777" w:rsidR="00D43EFE" w:rsidRPr="00285774" w:rsidRDefault="00D43EFE" w:rsidP="00D43EFE">
      <w:pPr>
        <w:numPr>
          <w:ilvl w:val="0"/>
          <w:numId w:val="2"/>
        </w:numPr>
        <w:suppressAutoHyphens/>
        <w:ind w:left="1276" w:right="23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Валутен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</w:p>
    <w:p w14:paraId="1D60E8D7" w14:textId="77777777" w:rsidR="00D43EFE" w:rsidRPr="00285774" w:rsidRDefault="00D43EFE" w:rsidP="00D43EFE">
      <w:pPr>
        <w:suppressAutoHyphens/>
        <w:ind w:left="120" w:right="238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Валутният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за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минимизиран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защото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всички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негови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сделки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деноминирани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български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лева.</w:t>
      </w:r>
    </w:p>
    <w:p w14:paraId="29D1378E" w14:textId="77777777" w:rsidR="002519DE" w:rsidRPr="00285774" w:rsidRDefault="002519DE" w:rsidP="00D43EFE">
      <w:pPr>
        <w:suppressAutoHyphens/>
        <w:ind w:left="120" w:right="238"/>
        <w:jc w:val="both"/>
        <w:rPr>
          <w:rFonts w:ascii="Calibri" w:hAnsi="Calibri" w:cs="Calibri"/>
          <w:bCs/>
          <w:sz w:val="22"/>
          <w:szCs w:val="22"/>
          <w:lang w:val="bg-BG"/>
        </w:rPr>
      </w:pPr>
    </w:p>
    <w:p w14:paraId="5A4D05F2" w14:textId="77777777" w:rsidR="00D43EFE" w:rsidRPr="00285774" w:rsidRDefault="00D43EFE" w:rsidP="00D43EFE">
      <w:pPr>
        <w:numPr>
          <w:ilvl w:val="0"/>
          <w:numId w:val="1"/>
        </w:numPr>
        <w:tabs>
          <w:tab w:val="clear" w:pos="66"/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Ценови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</w:p>
    <w:p w14:paraId="57E9FA11" w14:textId="77777777" w:rsidR="00D43EFE" w:rsidRPr="00285774" w:rsidRDefault="00D43EFE" w:rsidP="00D43EF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e изложено на риск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промени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цени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инвестиционни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на цените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самите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наеми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периодично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прави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преглед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цени, по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предлага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услугите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спрямо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общите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ценови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равнища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страната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за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може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необходимост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извършат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плавно и постепенно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корекции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тези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цени.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отдаването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под аренда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и наем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стреми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сключва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както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краткосрочни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договори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наеми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земеделските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така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дългосрочни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договори за аренда.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проучват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внимателно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гледна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точка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надеждност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събиране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</w:p>
    <w:p w14:paraId="462B4042" w14:textId="77777777" w:rsidR="00D43EFE" w:rsidRPr="00285774" w:rsidRDefault="00D43EFE" w:rsidP="00D43EF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инвестирането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недвижими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-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неблагоприятни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изменения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цени.</w:t>
      </w:r>
    </w:p>
    <w:p w14:paraId="044CF4E7" w14:textId="77777777" w:rsidR="00D43EFE" w:rsidRPr="00285774" w:rsidRDefault="00D43EFE" w:rsidP="00D43EFE">
      <w:pPr>
        <w:ind w:left="720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175BFBFD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Намаление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цените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земеделските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или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придобитите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недвижими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би се отразило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отрицателно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нетната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стойност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активите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такъв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случай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възможно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акциите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търгуват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близо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нетната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стойност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една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акция,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цената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акциите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спадне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инвеститорите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претърпят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капиталова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загуба</w:t>
      </w:r>
      <w:proofErr w:type="spellEnd"/>
    </w:p>
    <w:p w14:paraId="3EDEE9FC" w14:textId="77777777" w:rsidR="00D43EFE" w:rsidRPr="00285774" w:rsidRDefault="00D43EFE" w:rsidP="00D43EFE">
      <w:pPr>
        <w:numPr>
          <w:ilvl w:val="0"/>
          <w:numId w:val="1"/>
        </w:numPr>
        <w:tabs>
          <w:tab w:val="clear" w:pos="66"/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Кредитен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</w:p>
    <w:p w14:paraId="08C3308F" w14:textId="77777777" w:rsidR="00D43EFE" w:rsidRPr="00285774" w:rsidRDefault="00D43EFE" w:rsidP="00D43EFE">
      <w:pPr>
        <w:tabs>
          <w:tab w:val="num" w:pos="0"/>
        </w:tabs>
        <w:suppressAutoHyphens/>
        <w:ind w:left="120" w:right="340" w:firstLine="709"/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осъществяване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своята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изложено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кредитен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който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свързан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риска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някой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контрагентите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не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бъде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изпълни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изцяло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обичайно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предвидените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срокове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задълженията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него.</w:t>
      </w:r>
    </w:p>
    <w:p w14:paraId="432A806B" w14:textId="77777777" w:rsidR="00D43EFE" w:rsidRPr="00285774" w:rsidRDefault="00D43EFE" w:rsidP="00D43EFE">
      <w:pPr>
        <w:tabs>
          <w:tab w:val="num" w:pos="0"/>
        </w:tabs>
        <w:suppressAutoHyphens/>
        <w:ind w:left="120" w:right="340" w:firstLine="709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активи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концентрирани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две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групи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: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(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депозити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)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>.</w:t>
      </w:r>
    </w:p>
    <w:p w14:paraId="508D51A0" w14:textId="77777777" w:rsidR="00D43EFE" w:rsidRPr="00285774" w:rsidRDefault="00D43EFE" w:rsidP="00D43EFE">
      <w:pPr>
        <w:tabs>
          <w:tab w:val="num" w:pos="0"/>
        </w:tabs>
        <w:suppressAutoHyphens/>
        <w:ind w:left="120" w:right="340" w:firstLine="709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lastRenderedPageBreak/>
        <w:t>Паричните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предоставени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 в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банка,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висока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репутация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стабилна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ликвидност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значително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ограничава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риска.</w:t>
      </w:r>
    </w:p>
    <w:p w14:paraId="58814F46" w14:textId="77777777" w:rsidR="00D43EFE" w:rsidRPr="00285774" w:rsidRDefault="00D43EFE" w:rsidP="00D43EFE">
      <w:pPr>
        <w:tabs>
          <w:tab w:val="num" w:pos="0"/>
        </w:tabs>
        <w:suppressAutoHyphens/>
        <w:ind w:left="120" w:right="340" w:firstLine="709"/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По отношение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политиката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извършва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продажбите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условията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строго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лимитирани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срокове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плащане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Събираемостта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концентрацията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контролират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текущо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съгласно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установената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политика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индикатори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за проблем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-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прави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контакт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съответния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клиент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определяне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мерки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лимитиране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риска от загуби.</w:t>
      </w:r>
    </w:p>
    <w:p w14:paraId="73CB1CB3" w14:textId="77777777" w:rsidR="00D43EFE" w:rsidRPr="00285774" w:rsidRDefault="00D43EFE" w:rsidP="00D43EFE">
      <w:pPr>
        <w:suppressAutoHyphens/>
        <w:ind w:left="1276" w:right="340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5218EAEC" w14:textId="77777777" w:rsidR="00D43EFE" w:rsidRPr="00285774" w:rsidRDefault="00D43EFE" w:rsidP="00D43EFE">
      <w:pPr>
        <w:numPr>
          <w:ilvl w:val="0"/>
          <w:numId w:val="1"/>
        </w:numPr>
        <w:tabs>
          <w:tab w:val="clear" w:pos="66"/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Cs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Ликвиден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</w:p>
    <w:p w14:paraId="20F94F28" w14:textId="77777777" w:rsidR="00D43EFE" w:rsidRPr="00285774" w:rsidRDefault="00D43EFE" w:rsidP="00D43EFE">
      <w:pPr>
        <w:ind w:firstLine="708"/>
        <w:jc w:val="both"/>
        <w:rPr>
          <w:rFonts w:ascii="Calibri" w:eastAsia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Ликвидният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риск се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изразява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негативната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ситуация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да не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бъде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състояние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посрещне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безусловно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всички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свои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задължения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съгласно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техния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падеж. То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провежда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консервативна политика по управление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ликвидността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, чрез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която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постоянно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поддържа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оптимален ликвиден запас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средства, добра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способност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финансиране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стопанската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дейност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управлява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ликвидността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активите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пасивите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си чрез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текущ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анализ и наблюдение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структурата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динамиката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измененията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им, и чрез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прогнозиране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бъдещите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входящи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изходящи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факторите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за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негативни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ефекти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тях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175E68D5" w14:textId="77777777" w:rsidR="00D43EFE" w:rsidRPr="00285774" w:rsidRDefault="00D43EFE" w:rsidP="00D43EFE">
      <w:pPr>
        <w:tabs>
          <w:tab w:val="left" w:pos="1134"/>
        </w:tabs>
        <w:overflowPunct w:val="0"/>
        <w:autoSpaceDE w:val="0"/>
        <w:autoSpaceDN w:val="0"/>
        <w:adjustRightInd w:val="0"/>
        <w:spacing w:line="220" w:lineRule="exact"/>
        <w:ind w:hanging="1"/>
        <w:jc w:val="both"/>
        <w:rPr>
          <w:rFonts w:ascii="Calibri" w:hAnsi="Calibri" w:cs="Calibri"/>
          <w:i/>
          <w:sz w:val="22"/>
          <w:szCs w:val="22"/>
          <w:lang w:val="bg-BG"/>
        </w:rPr>
      </w:pPr>
    </w:p>
    <w:p w14:paraId="1BE868CE" w14:textId="77777777" w:rsidR="00D43EFE" w:rsidRDefault="00D43EFE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  <w:r w:rsidRPr="00285774">
        <w:rPr>
          <w:rFonts w:ascii="Calibri" w:hAnsi="Calibri" w:cs="Calibri"/>
          <w:sz w:val="22"/>
          <w:szCs w:val="22"/>
          <w:lang w:val="bg-BG"/>
        </w:rPr>
        <w:t>В таблицата по-долу е представен анализ на активите и пасивите на „Риъл Булленд“ АД по матуритетни периоди, на база на остатъчния срок от датата на баланса до датата на реализиране на актива или пасива:</w:t>
      </w:r>
    </w:p>
    <w:tbl>
      <w:tblPr>
        <w:tblW w:w="9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735"/>
        <w:gridCol w:w="947"/>
        <w:gridCol w:w="142"/>
        <w:gridCol w:w="830"/>
        <w:gridCol w:w="259"/>
        <w:gridCol w:w="714"/>
        <w:gridCol w:w="354"/>
        <w:gridCol w:w="618"/>
        <w:gridCol w:w="450"/>
        <w:gridCol w:w="661"/>
        <w:gridCol w:w="221"/>
        <w:gridCol w:w="904"/>
      </w:tblGrid>
      <w:tr w:rsidR="004D328C" w:rsidRPr="00285774" w14:paraId="42A65A0C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6DDE" w14:textId="77777777" w:rsidR="004D328C" w:rsidRPr="00285774" w:rsidRDefault="004D328C" w:rsidP="004D328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март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202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4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EF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7B26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4415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CD52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87A6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C25E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92E6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3317ED" w:rsidRPr="00285774" w14:paraId="1F6E9C7F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45B2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В хиляди лева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6E24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До 1 месец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48E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1-3 месеца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8185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3-12 месеца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817D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1-5 години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7EC3" w14:textId="77777777" w:rsidR="004D328C" w:rsidRPr="00285774" w:rsidRDefault="004D328C" w:rsidP="004D328C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Над 5 години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DD7A" w14:textId="77777777" w:rsidR="004D328C" w:rsidRPr="00285774" w:rsidRDefault="004D328C" w:rsidP="004D328C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Без мату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softHyphen/>
              <w:t>ритет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549A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</w:t>
            </w:r>
          </w:p>
        </w:tc>
      </w:tr>
      <w:tr w:rsidR="003317ED" w:rsidRPr="00285774" w14:paraId="090CB8CF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740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АКТИВИ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EE3D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79FF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EB53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B821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8FE6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3017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AB69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3317ED" w:rsidRPr="00285774" w14:paraId="69660FF7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29F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Машини и съоръжения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7CB28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99EDE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5C41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FE687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BCB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3D28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AFE9A" w14:textId="77777777" w:rsidR="004D328C" w:rsidRPr="00285774" w:rsidRDefault="004D328C" w:rsidP="00297A0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</w:tr>
      <w:tr w:rsidR="003317ED" w:rsidRPr="00285774" w14:paraId="30C02AA6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7583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Инвестиционни имоти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E2F4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859B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526B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94D0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9D0B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92A6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8 029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DA79" w14:textId="77777777" w:rsidR="004D328C" w:rsidRPr="00285774" w:rsidRDefault="004D328C" w:rsidP="00297A0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8 029</w:t>
            </w:r>
          </w:p>
        </w:tc>
      </w:tr>
      <w:tr w:rsidR="003317ED" w:rsidRPr="00285774" w14:paraId="71DA4551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0236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Пари и парични еквиваленти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BEA4" w14:textId="77777777" w:rsidR="004D328C" w:rsidRPr="00285774" w:rsidRDefault="004D328C" w:rsidP="004D328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2 159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5812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70BF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30C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BAAE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845E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FE36" w14:textId="77777777" w:rsidR="004D328C" w:rsidRPr="00285774" w:rsidRDefault="004D328C" w:rsidP="00297A0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2 159</w:t>
            </w:r>
          </w:p>
        </w:tc>
      </w:tr>
      <w:tr w:rsidR="004D328C" w:rsidRPr="00285774" w14:paraId="2FF62DC3" w14:textId="77777777" w:rsidTr="00861697">
        <w:trPr>
          <w:trHeight w:val="305"/>
        </w:trPr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1D40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Търговски и други вземания                             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8FE96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8E45" w14:textId="77777777" w:rsidR="004D328C" w:rsidRPr="00285774" w:rsidRDefault="004D328C" w:rsidP="00297A0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DB55F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3E237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A369E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0EB0" w14:textId="77777777" w:rsidR="004D328C" w:rsidRPr="00285774" w:rsidRDefault="004D328C" w:rsidP="00297A0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100</w:t>
            </w:r>
          </w:p>
        </w:tc>
      </w:tr>
      <w:tr w:rsidR="003317ED" w:rsidRPr="00285774" w14:paraId="5CD520AC" w14:textId="77777777" w:rsidTr="00861697">
        <w:trPr>
          <w:trHeight w:val="30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51AF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ОБЩО АКТИВИ 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50C3" w14:textId="77777777" w:rsidR="004D328C" w:rsidRPr="00285774" w:rsidRDefault="004D328C" w:rsidP="004D328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2 159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066E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8FA4" w14:textId="77777777" w:rsidR="004D328C" w:rsidRPr="00285774" w:rsidRDefault="004D328C" w:rsidP="00297A0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100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4CCA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9C6D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E088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8 029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B792" w14:textId="77777777" w:rsidR="004D328C" w:rsidRPr="00285774" w:rsidRDefault="004D328C" w:rsidP="004D328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10 288</w:t>
            </w:r>
          </w:p>
        </w:tc>
      </w:tr>
      <w:tr w:rsidR="004D328C" w:rsidRPr="00285774" w14:paraId="3ED0B14F" w14:textId="77777777" w:rsidTr="00861697">
        <w:trPr>
          <w:trHeight w:val="48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4F02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ПАСИВИ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E87A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67C4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7CB5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EF90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4FEA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8D5D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FBF4" w14:textId="77777777" w:rsidR="004D328C" w:rsidRPr="00285774" w:rsidRDefault="004D328C" w:rsidP="00297A0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4D328C" w:rsidRPr="00285774" w14:paraId="57B10CA8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EC3A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Задължения към доставчици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66AF" w14:textId="77777777" w:rsidR="004D328C" w:rsidRPr="00591132" w:rsidRDefault="00591132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4F37B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A076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17C20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A65F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870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386A3" w14:textId="77777777" w:rsidR="004D328C" w:rsidRPr="00285774" w:rsidRDefault="00EE3B04" w:rsidP="00EE3B04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</w:p>
        </w:tc>
      </w:tr>
      <w:tr w:rsidR="004D328C" w:rsidRPr="00285774" w14:paraId="515191BB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F632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Данъчни задължения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562B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27886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6A2C5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F1D3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14D13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6E0A4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CE77" w14:textId="77777777" w:rsidR="004D328C" w:rsidRPr="00285774" w:rsidRDefault="00EE3B04" w:rsidP="00EE3B04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</w:tr>
      <w:tr w:rsidR="004D328C" w:rsidRPr="00285774" w14:paraId="7D4EFACE" w14:textId="77777777" w:rsidTr="00861697">
        <w:trPr>
          <w:trHeight w:val="30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09F5B" w14:textId="77777777" w:rsidR="004D328C" w:rsidRPr="00285774" w:rsidRDefault="004D328C" w:rsidP="004D328C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Предплатени вземания арендатори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FE3987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F1D738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DA5DC2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199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4B89DB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F4811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09CDE4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2C5893" w14:textId="77777777" w:rsidR="004D328C" w:rsidRPr="001B5FC9" w:rsidRDefault="001B5FC9" w:rsidP="00297A0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199</w:t>
            </w:r>
          </w:p>
        </w:tc>
      </w:tr>
      <w:tr w:rsidR="004D328C" w:rsidRPr="00285774" w14:paraId="178A66DB" w14:textId="77777777" w:rsidTr="00861697">
        <w:trPr>
          <w:trHeight w:val="30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8B742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9B33B9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1C0465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E15568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651E4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D0933D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AD44DA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375A27" w14:textId="77777777" w:rsidR="004D328C" w:rsidRPr="00285774" w:rsidRDefault="004D328C" w:rsidP="00297A0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4D328C" w:rsidRPr="00285774" w14:paraId="5D2AFA00" w14:textId="77777777" w:rsidTr="00861697">
        <w:trPr>
          <w:trHeight w:val="30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AD7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 ПАСИВИ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444B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CA758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CBA5B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199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084F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6A9C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A715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A440" w14:textId="77777777" w:rsidR="004D328C" w:rsidRPr="00285774" w:rsidRDefault="004D328C" w:rsidP="001B5FC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20</w:t>
            </w:r>
            <w:r w:rsidR="001B5FC9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4D328C" w:rsidRPr="00285774" w14:paraId="751784EC" w14:textId="77777777" w:rsidTr="00861697">
        <w:trPr>
          <w:trHeight w:val="316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A82B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  <w:p w14:paraId="3DD14F1D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Нетна разлика</w:t>
            </w:r>
          </w:p>
          <w:p w14:paraId="21D4EF0B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34DE" w14:textId="77777777" w:rsidR="004D328C" w:rsidRPr="001B5FC9" w:rsidRDefault="004D328C" w:rsidP="001B5FC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2 </w:t>
            </w:r>
            <w:r w:rsidR="001B5FC9">
              <w:rPr>
                <w:rFonts w:ascii="Calibri" w:hAnsi="Calibri" w:cs="Calibri"/>
                <w:b/>
                <w:sz w:val="22"/>
                <w:szCs w:val="22"/>
              </w:rPr>
              <w:t>156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E125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20A3" w14:textId="77777777" w:rsidR="004D328C" w:rsidRPr="00285774" w:rsidRDefault="004D328C" w:rsidP="00A1772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A1772C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1B5FC9">
              <w:rPr>
                <w:rFonts w:ascii="Calibri" w:hAnsi="Calibri" w:cs="Calibri"/>
                <w:b/>
                <w:sz w:val="22"/>
                <w:szCs w:val="22"/>
              </w:rPr>
              <w:t>99</w:t>
            </w:r>
            <w:r w:rsidRPr="00A1772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C42D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C1F5" w14:textId="77777777" w:rsidR="004D328C" w:rsidRPr="00285774" w:rsidRDefault="004D328C" w:rsidP="00297A0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8C0C3" w14:textId="77777777" w:rsidR="004D328C" w:rsidRPr="001B5FC9" w:rsidRDefault="001B5FC9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8 029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7D872" w14:textId="77777777" w:rsidR="004D328C" w:rsidRPr="001B5FC9" w:rsidRDefault="004D328C" w:rsidP="001B5FC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10 </w:t>
            </w:r>
            <w:r w:rsidR="00EE3B0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08</w:t>
            </w:r>
            <w:r w:rsidR="001B5FC9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</w:tr>
    </w:tbl>
    <w:p w14:paraId="22534726" w14:textId="77777777" w:rsidR="004D328C" w:rsidRPr="00285774" w:rsidRDefault="004D328C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</w:p>
    <w:tbl>
      <w:tblPr>
        <w:tblW w:w="9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86"/>
        <w:gridCol w:w="708"/>
        <w:gridCol w:w="974"/>
        <w:gridCol w:w="1137"/>
        <w:gridCol w:w="866"/>
        <w:gridCol w:w="249"/>
        <w:gridCol w:w="743"/>
        <w:gridCol w:w="372"/>
        <w:gridCol w:w="762"/>
        <w:gridCol w:w="159"/>
        <w:gridCol w:w="945"/>
      </w:tblGrid>
      <w:tr w:rsidR="00F41B62" w:rsidRPr="00285774" w14:paraId="42E8E740" w14:textId="77777777" w:rsidTr="003317ED">
        <w:trPr>
          <w:trHeight w:val="296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488E" w14:textId="77777777" w:rsidR="00F41B62" w:rsidRPr="00285774" w:rsidRDefault="00F41B62" w:rsidP="0036097D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 w:rsidR="0036097D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  <w:r w:rsidR="0036097D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декември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202</w:t>
            </w:r>
            <w:r w:rsidR="0056662D"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1EE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220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AE7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18F8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957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3D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C9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325D458D" w14:textId="77777777" w:rsidTr="003317ED">
        <w:trPr>
          <w:trHeight w:val="296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518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В хиляди лева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6244" w14:textId="77777777" w:rsidR="00F41B62" w:rsidRPr="00285774" w:rsidRDefault="00F41B62" w:rsidP="003317ED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До 1 месец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836C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1-3 месеца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B35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3-12 месеца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895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1-5 години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90B2" w14:textId="77777777" w:rsidR="00F41B62" w:rsidRPr="00285774" w:rsidRDefault="00F41B62" w:rsidP="004D328C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Над</w:t>
            </w:r>
            <w:r w:rsidR="004D328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5 години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B815" w14:textId="77777777" w:rsidR="00F41B62" w:rsidRPr="00285774" w:rsidRDefault="00F41B62" w:rsidP="003317ED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Без мату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softHyphen/>
              <w:t>ритет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D90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</w:t>
            </w:r>
          </w:p>
        </w:tc>
      </w:tr>
      <w:tr w:rsidR="00F41B62" w:rsidRPr="00285774" w14:paraId="089AE030" w14:textId="77777777" w:rsidTr="003317ED">
        <w:trPr>
          <w:trHeight w:val="296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01CC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АКТИВИ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C53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2A6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0C2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563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11A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60A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904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20B906E8" w14:textId="77777777" w:rsidTr="003317ED">
        <w:trPr>
          <w:trHeight w:val="2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4B5C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Инвестиционни имоти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CB8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FD3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559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119E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D368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241C" w14:textId="77777777" w:rsidR="00F41B62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7 791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0C3B" w14:textId="77777777" w:rsidR="00F41B62" w:rsidRPr="00285774" w:rsidRDefault="0059587E" w:rsidP="0059587E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7 791</w:t>
            </w:r>
          </w:p>
        </w:tc>
      </w:tr>
      <w:tr w:rsidR="00F41B62" w:rsidRPr="00285774" w14:paraId="402ECBA6" w14:textId="77777777" w:rsidTr="003317ED">
        <w:trPr>
          <w:trHeight w:val="2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B317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Пари и парични еквиваленти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7E21" w14:textId="77777777" w:rsidR="00F41B62" w:rsidRPr="00285774" w:rsidRDefault="00C772C3" w:rsidP="00C772C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2 </w:t>
            </w:r>
            <w:r w:rsidR="0040770B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8CBC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CC7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6FC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6708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538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4A87" w14:textId="77777777" w:rsidR="00F41B62" w:rsidRPr="00285774" w:rsidRDefault="0059587E" w:rsidP="00D9037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2 450</w:t>
            </w:r>
          </w:p>
        </w:tc>
      </w:tr>
      <w:tr w:rsidR="00F41B62" w:rsidRPr="00285774" w14:paraId="2D4658D3" w14:textId="77777777" w:rsidTr="003317ED">
        <w:trPr>
          <w:trHeight w:val="311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77865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Търговски и други вземания                            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9367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DD904" w14:textId="77777777" w:rsidR="00F41B62" w:rsidRPr="00285774" w:rsidRDefault="0059587E" w:rsidP="0059587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5F5E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68F29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EF507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B0548" w14:textId="77777777" w:rsidR="00F41B62" w:rsidRPr="00285774" w:rsidRDefault="0059587E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96</w:t>
            </w:r>
          </w:p>
        </w:tc>
      </w:tr>
      <w:tr w:rsidR="00F41B62" w:rsidRPr="00285774" w14:paraId="08763A08" w14:textId="77777777" w:rsidTr="003317ED">
        <w:trPr>
          <w:trHeight w:val="31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5CEF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ОБЩО АКТИВИ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3C34" w14:textId="77777777" w:rsidR="00F41B62" w:rsidRPr="00285774" w:rsidRDefault="0059587E" w:rsidP="0051319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2 450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68A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11592" w14:textId="77777777" w:rsidR="00F41B62" w:rsidRPr="00285774" w:rsidRDefault="004D328C" w:rsidP="0059587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96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7281" w14:textId="77777777" w:rsidR="00F41B62" w:rsidRPr="00285774" w:rsidRDefault="00D9037C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B16D" w14:textId="77777777" w:rsidR="00F41B62" w:rsidRPr="00285774" w:rsidRDefault="0059587E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9863" w14:textId="77777777" w:rsidR="00F41B62" w:rsidRPr="00285774" w:rsidRDefault="0059587E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7 791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D61F" w14:textId="77777777" w:rsidR="00F41B62" w:rsidRPr="00285774" w:rsidRDefault="0059587E" w:rsidP="0040770B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10 337</w:t>
            </w:r>
          </w:p>
        </w:tc>
      </w:tr>
      <w:tr w:rsidR="00F41B62" w:rsidRPr="00285774" w14:paraId="10CD899F" w14:textId="77777777" w:rsidTr="003317ED">
        <w:trPr>
          <w:trHeight w:val="417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056C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lastRenderedPageBreak/>
              <w:t xml:space="preserve">ПАСИВИ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2C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E4C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28CC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E710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193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587A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F479" w14:textId="77777777" w:rsidR="00F41B62" w:rsidRPr="00285774" w:rsidRDefault="00F41B62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516C6F8F" w14:textId="77777777" w:rsidTr="003317ED">
        <w:trPr>
          <w:trHeight w:val="2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4D10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Задължения към доставчици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A306A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FFE9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D30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D588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B357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E4BE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AF91" w14:textId="77777777" w:rsidR="00F41B62" w:rsidRPr="00285774" w:rsidRDefault="00F41B62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</w:p>
          <w:p w14:paraId="26060EA4" w14:textId="77777777" w:rsidR="00F41B62" w:rsidRPr="00285774" w:rsidRDefault="00F41B62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218B09FD" w14:textId="77777777" w:rsidTr="003317ED">
        <w:trPr>
          <w:trHeight w:val="2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B3D0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Данъчни задължения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F1DDC" w14:textId="77777777" w:rsidR="00F41B62" w:rsidRPr="00285774" w:rsidRDefault="0048748A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95EF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CB54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2F0DA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EE4C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AF990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4D25F" w14:textId="77777777" w:rsidR="00F41B62" w:rsidRPr="00285774" w:rsidRDefault="00B97D59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  <w:p w14:paraId="48773DCF" w14:textId="77777777" w:rsidR="00F41B62" w:rsidRPr="00285774" w:rsidRDefault="00F41B62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551CB613" w14:textId="77777777" w:rsidTr="003317ED">
        <w:trPr>
          <w:trHeight w:val="31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AF5F1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Предплатени вземания арендатори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89FFE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2A592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AAA454" w14:textId="77777777" w:rsidR="00F41B62" w:rsidRPr="00285774" w:rsidRDefault="00B97D59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6EF3B8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8C57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0B5399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2DC5E" w14:textId="77777777" w:rsidR="00F41B62" w:rsidRPr="00285774" w:rsidRDefault="00B97D59" w:rsidP="00B97D59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199</w:t>
            </w:r>
          </w:p>
        </w:tc>
      </w:tr>
      <w:tr w:rsidR="00F41B62" w:rsidRPr="00285774" w14:paraId="4600CEA7" w14:textId="77777777" w:rsidTr="003317ED">
        <w:trPr>
          <w:trHeight w:val="31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CC05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7CC2D9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4BA8F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9D0289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772B9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CF45CD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B5811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2560D6" w14:textId="77777777" w:rsidR="00F41B62" w:rsidRPr="00285774" w:rsidRDefault="00F41B62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2FBCF3EC" w14:textId="77777777" w:rsidTr="003317ED">
        <w:trPr>
          <w:trHeight w:val="31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F80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 ПАСИВИ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5B61" w14:textId="77777777" w:rsidR="00F41B62" w:rsidRPr="00285774" w:rsidRDefault="00F41B62" w:rsidP="0048748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48748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75D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F478" w14:textId="77777777" w:rsidR="00F41B62" w:rsidRPr="00285774" w:rsidRDefault="00F41B62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B97D59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199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911D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C02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68D7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E52D7" w14:textId="77777777" w:rsidR="00F41B62" w:rsidRPr="00285774" w:rsidRDefault="00F41B62" w:rsidP="00B97D5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CE31E3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20</w:t>
            </w:r>
            <w:r w:rsidR="00B97D59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F41B62" w:rsidRPr="00285774" w14:paraId="6F00AB93" w14:textId="77777777" w:rsidTr="003317ED">
        <w:trPr>
          <w:trHeight w:val="322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7B33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  <w:p w14:paraId="6B1144E4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Нетна разлика</w:t>
            </w:r>
          </w:p>
          <w:p w14:paraId="108CD84A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534C" w14:textId="77777777" w:rsidR="00F41B62" w:rsidRPr="00285774" w:rsidRDefault="00B97D59" w:rsidP="00F52C8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2 447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37DE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0E66" w14:textId="77777777" w:rsidR="00F41B62" w:rsidRPr="00285774" w:rsidRDefault="00F41B62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(</w:t>
            </w:r>
            <w:r w:rsidR="00B97D59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</w:t>
            </w:r>
            <w:r w:rsidR="004D328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03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3539" w14:textId="77777777" w:rsidR="00F41B62" w:rsidRPr="00285774" w:rsidRDefault="00F52C84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A133" w14:textId="77777777" w:rsidR="00F41B62" w:rsidRPr="00285774" w:rsidRDefault="00B97D59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0509" w14:textId="77777777" w:rsidR="00F41B62" w:rsidRPr="00285774" w:rsidRDefault="00B97D59" w:rsidP="003317E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7 791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E624" w14:textId="77777777" w:rsidR="00F41B62" w:rsidRPr="00285774" w:rsidRDefault="00B97D59" w:rsidP="00CE31E3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10 135</w:t>
            </w:r>
          </w:p>
        </w:tc>
      </w:tr>
    </w:tbl>
    <w:p w14:paraId="07C30A19" w14:textId="77777777" w:rsidR="00F41B62" w:rsidRPr="00285774" w:rsidRDefault="00F41B62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60671B4D" w14:textId="77777777" w:rsidR="00D43EFE" w:rsidRPr="00285774" w:rsidRDefault="00D43EFE" w:rsidP="00D43EFE">
      <w:pPr>
        <w:numPr>
          <w:ilvl w:val="0"/>
          <w:numId w:val="1"/>
        </w:numPr>
        <w:tabs>
          <w:tab w:val="clear" w:pos="66"/>
          <w:tab w:val="num" w:pos="0"/>
          <w:tab w:val="num" w:pos="839"/>
        </w:tabs>
        <w:suppressAutoHyphens/>
        <w:ind w:left="426" w:right="198" w:firstLine="709"/>
        <w:jc w:val="both"/>
        <w:rPr>
          <w:rFonts w:ascii="Calibri" w:hAnsi="Calibri" w:cs="Calibri"/>
          <w:bCs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на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лихвоносните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парични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потоци</w:t>
      </w:r>
      <w:proofErr w:type="spellEnd"/>
    </w:p>
    <w:p w14:paraId="6E8F37FB" w14:textId="77777777" w:rsidR="00D43EFE" w:rsidRPr="00285774" w:rsidRDefault="00D43EFE" w:rsidP="00D43EFE">
      <w:pPr>
        <w:ind w:left="142" w:firstLine="567"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Като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цяло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няма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значителна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част 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лихвоносни</w:t>
      </w:r>
      <w:proofErr w:type="spellEnd"/>
      <w:proofErr w:type="gram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активи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, с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изключение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предоставени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инвестиции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краткосрочни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банкови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депозити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Затова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приходите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оперативните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голяма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степен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независими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промените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лихвени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равнища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Паричните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средства (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депозити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банки)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фиксиран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лихвен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процент,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който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запазва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непроменен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до падежа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съответния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депозит.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Доколкото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депозитите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краткосрочни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рискът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негативни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промени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лихвените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равнища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лимитиран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07637E51" w14:textId="77777777" w:rsidR="00D43EFE" w:rsidRPr="00285774" w:rsidRDefault="00D43EFE" w:rsidP="00D43EFE">
      <w:pPr>
        <w:rPr>
          <w:rFonts w:ascii="Calibri" w:hAnsi="Calibri" w:cs="Calibri"/>
          <w:sz w:val="22"/>
          <w:szCs w:val="22"/>
          <w:lang w:val="bg-BG" w:eastAsia="ar-SA"/>
        </w:rPr>
      </w:pPr>
    </w:p>
    <w:p w14:paraId="0EF18CB8" w14:textId="77777777" w:rsidR="00D43EFE" w:rsidRPr="00285774" w:rsidRDefault="004B0F2A" w:rsidP="00D43EFE">
      <w:pPr>
        <w:keepNext/>
        <w:jc w:val="both"/>
        <w:outlineLvl w:val="0"/>
        <w:rPr>
          <w:rFonts w:ascii="Calibri" w:hAnsi="Calibri" w:cs="Calibri"/>
          <w:b/>
          <w:bCs/>
          <w:sz w:val="22"/>
          <w:szCs w:val="22"/>
          <w:lang w:val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/>
        </w:rPr>
        <w:t>6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/>
        </w:rPr>
        <w:t xml:space="preserve">. Важни събития, настъпили след изготвяне на доклада за дейността към </w:t>
      </w:r>
      <w:r w:rsidR="006543B5" w:rsidRPr="00285774">
        <w:rPr>
          <w:rFonts w:ascii="Calibri" w:hAnsi="Calibri" w:cs="Calibri"/>
          <w:b/>
          <w:sz w:val="22"/>
          <w:szCs w:val="22"/>
          <w:lang w:val="bg-BG"/>
        </w:rPr>
        <w:t>3</w:t>
      </w:r>
      <w:r w:rsidR="008B77E1">
        <w:rPr>
          <w:rFonts w:ascii="Calibri" w:hAnsi="Calibri" w:cs="Calibri"/>
          <w:b/>
          <w:sz w:val="22"/>
          <w:szCs w:val="22"/>
          <w:lang w:val="bg-BG"/>
        </w:rPr>
        <w:t>1</w:t>
      </w:r>
      <w:r w:rsidR="006543B5" w:rsidRPr="00285774">
        <w:rPr>
          <w:rFonts w:ascii="Calibri" w:hAnsi="Calibri" w:cs="Calibri"/>
          <w:b/>
          <w:sz w:val="22"/>
          <w:szCs w:val="22"/>
          <w:lang w:val="bg-BG"/>
        </w:rPr>
        <w:t>.</w:t>
      </w:r>
      <w:r w:rsidR="00971017" w:rsidRPr="00D37BC0">
        <w:rPr>
          <w:rFonts w:ascii="Calibri" w:hAnsi="Calibri" w:cs="Calibri"/>
          <w:b/>
          <w:sz w:val="22"/>
          <w:szCs w:val="22"/>
          <w:lang w:val="ru-RU"/>
        </w:rPr>
        <w:t>03</w:t>
      </w:r>
      <w:r w:rsidR="00D43EFE" w:rsidRPr="00285774">
        <w:rPr>
          <w:rFonts w:ascii="Calibri" w:hAnsi="Calibri" w:cs="Calibri"/>
          <w:b/>
          <w:sz w:val="22"/>
          <w:szCs w:val="22"/>
          <w:lang w:val="bg-BG"/>
        </w:rPr>
        <w:t>.20</w:t>
      </w:r>
      <w:r w:rsidR="008A6AB4" w:rsidRPr="00285774">
        <w:rPr>
          <w:rFonts w:ascii="Calibri" w:hAnsi="Calibri" w:cs="Calibri"/>
          <w:b/>
          <w:sz w:val="22"/>
          <w:szCs w:val="22"/>
          <w:lang w:val="bg-BG"/>
        </w:rPr>
        <w:t>2</w:t>
      </w:r>
      <w:r w:rsidR="00971017" w:rsidRPr="00D37BC0">
        <w:rPr>
          <w:rFonts w:ascii="Calibri" w:hAnsi="Calibri" w:cs="Calibri"/>
          <w:b/>
          <w:sz w:val="22"/>
          <w:szCs w:val="22"/>
          <w:lang w:val="ru-RU"/>
        </w:rPr>
        <w:t>4</w:t>
      </w:r>
      <w:r w:rsidR="00D43EFE" w:rsidRPr="00285774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/>
        </w:rPr>
        <w:t>г.</w:t>
      </w:r>
    </w:p>
    <w:p w14:paraId="63B03786" w14:textId="77777777" w:rsidR="00D43EFE" w:rsidRPr="00285774" w:rsidRDefault="00D43EFE" w:rsidP="00D43EFE">
      <w:pPr>
        <w:keepNext/>
        <w:jc w:val="both"/>
        <w:outlineLvl w:val="0"/>
        <w:rPr>
          <w:rFonts w:ascii="Calibri" w:hAnsi="Calibri" w:cs="Calibri"/>
          <w:b/>
          <w:bCs/>
          <w:sz w:val="22"/>
          <w:szCs w:val="22"/>
          <w:lang w:val="bg-BG"/>
        </w:rPr>
      </w:pPr>
    </w:p>
    <w:p w14:paraId="7A4EF0DC" w14:textId="77777777" w:rsidR="008E5E4C" w:rsidRPr="00285774" w:rsidRDefault="008E5E4C" w:rsidP="008E5E4C">
      <w:pPr>
        <w:rPr>
          <w:rFonts w:ascii="Calibri" w:hAnsi="Calibri" w:cs="Calibri"/>
          <w:sz w:val="22"/>
          <w:szCs w:val="22"/>
          <w:lang w:val="ru-RU"/>
        </w:rPr>
      </w:pPr>
      <w:r w:rsidRPr="00692EAA">
        <w:rPr>
          <w:rFonts w:ascii="Calibri" w:hAnsi="Calibri" w:cs="Calibri"/>
          <w:sz w:val="22"/>
          <w:szCs w:val="22"/>
          <w:lang w:val="ru-RU"/>
        </w:rPr>
        <w:t xml:space="preserve">Не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възникнали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коригиращи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събития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или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значителни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некоригиращи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събития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между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датата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финансовия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отчет и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датата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одобрението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му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за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публикуване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>.</w:t>
      </w:r>
    </w:p>
    <w:p w14:paraId="417B1851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2A60A096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7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 Вероятното бъдещо развитие на дружеството</w:t>
      </w:r>
    </w:p>
    <w:p w14:paraId="57FD6711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2F67E971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реализацията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инвестиционните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намерения,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ще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придържа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бизнес плана описан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потвърдения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проспект за увеличение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на капитала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Предвид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ниските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нива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лихвите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депозитите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проучва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други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възможности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съобразени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описаните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в проспекта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инвестиране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свободните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средства.</w:t>
      </w:r>
    </w:p>
    <w:p w14:paraId="40736DF7" w14:textId="77777777" w:rsidR="00E14426" w:rsidRPr="00285774" w:rsidRDefault="00E14426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</w:p>
    <w:p w14:paraId="274E755F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8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 Действията в областта на научноизследователската и развойната дейност</w:t>
      </w:r>
    </w:p>
    <w:p w14:paraId="07F992C9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ru-RU" w:eastAsia="bg-BG"/>
        </w:rPr>
      </w:pPr>
    </w:p>
    <w:p w14:paraId="0C80D142" w14:textId="77777777" w:rsidR="00D43EFE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Дейността на дружеството не е свързана с дейности в областта на научноизследователската и развойната дейност. </w:t>
      </w:r>
    </w:p>
    <w:p w14:paraId="44E89935" w14:textId="77777777" w:rsidR="00037879" w:rsidRDefault="00037879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</w:p>
    <w:p w14:paraId="2A4A63FE" w14:textId="77777777" w:rsidR="00861697" w:rsidRPr="00285774" w:rsidRDefault="00861697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</w:p>
    <w:p w14:paraId="02EAC3AB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 Информацията, изисквана по реда на чл. 187д  от Търговския закон</w:t>
      </w:r>
      <w:r w:rsidR="00D43EFE" w:rsidRPr="00285774">
        <w:rPr>
          <w:rFonts w:ascii="Calibri" w:hAnsi="Calibri" w:cs="Calibri"/>
          <w:b/>
          <w:sz w:val="22"/>
          <w:szCs w:val="22"/>
          <w:lang w:val="ru-RU" w:eastAsia="bg-BG"/>
        </w:rPr>
        <w:t>:</w:t>
      </w:r>
    </w:p>
    <w:p w14:paraId="03613A09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43FC269D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.1. броят и номиналната стойност на придобитите и прехвърлените през годината собствени акции, частта от капитала, която те представляват, както и цената, по която е станало придобиването или прехвърлянето</w:t>
      </w:r>
    </w:p>
    <w:p w14:paraId="3B624079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</w:p>
    <w:p w14:paraId="43503EA5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>Не са извършвани прехвърляния.</w:t>
      </w:r>
    </w:p>
    <w:p w14:paraId="78800DDD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.2. основанието за придобиванията, извършени през годината</w:t>
      </w:r>
    </w:p>
    <w:p w14:paraId="63A0D3E4" w14:textId="77777777" w:rsidR="00D43EFE" w:rsidRPr="00285774" w:rsidRDefault="00D43EFE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2BEDAE5E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>Не са правени придобивания.</w:t>
      </w:r>
    </w:p>
    <w:p w14:paraId="58470C23" w14:textId="77777777" w:rsidR="00D43EFE" w:rsidRPr="00285774" w:rsidRDefault="00D43EFE" w:rsidP="00D43EFE">
      <w:pPr>
        <w:jc w:val="both"/>
        <w:rPr>
          <w:rFonts w:ascii="Calibri" w:hAnsi="Calibri" w:cs="Calibri"/>
          <w:color w:val="000000"/>
          <w:sz w:val="22"/>
          <w:szCs w:val="22"/>
          <w:lang w:val="ru-RU" w:eastAsia="bg-BG"/>
        </w:rPr>
      </w:pPr>
    </w:p>
    <w:p w14:paraId="38A97933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lastRenderedPageBreak/>
        <w:t>9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.3. броят и номиналната стойност на притежаваните собствени акции и частта от капитала, която те представляват</w:t>
      </w:r>
    </w:p>
    <w:p w14:paraId="589B753D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5EED8B96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>Дружеството не притежава собствени акции.</w:t>
      </w:r>
    </w:p>
    <w:p w14:paraId="5A10DEF2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5445C181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10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 Наличието на клонове на предприятието</w:t>
      </w:r>
    </w:p>
    <w:p w14:paraId="131D58AB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67DF53B0" w14:textId="77777777" w:rsidR="00D43EFE" w:rsidRPr="00285774" w:rsidRDefault="00D43EFE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color w:val="000000"/>
          <w:sz w:val="22"/>
          <w:szCs w:val="22"/>
          <w:lang w:val="bg-BG" w:eastAsia="bg-BG"/>
        </w:rPr>
        <w:t>Дружеството няма клонове.</w:t>
      </w:r>
    </w:p>
    <w:p w14:paraId="7D9A7049" w14:textId="77777777" w:rsidR="00D43EFE" w:rsidRPr="00285774" w:rsidRDefault="00D43EFE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28D28932" w14:textId="77777777" w:rsidR="00D43EFE" w:rsidRPr="00285774" w:rsidRDefault="00D43EFE" w:rsidP="00D43EFE">
      <w:pPr>
        <w:jc w:val="both"/>
        <w:rPr>
          <w:rFonts w:ascii="Calibri" w:hAnsi="Calibri" w:cs="Calibri"/>
          <w:b/>
          <w:color w:val="FF0000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ru-RU" w:eastAsia="bg-BG"/>
        </w:rPr>
        <w:t>1</w:t>
      </w:r>
      <w:r w:rsidR="004B0F2A" w:rsidRPr="00285774">
        <w:rPr>
          <w:rFonts w:ascii="Calibri" w:hAnsi="Calibri" w:cs="Calibri"/>
          <w:b/>
          <w:sz w:val="22"/>
          <w:szCs w:val="22"/>
          <w:lang w:val="bg-BG" w:eastAsia="bg-BG"/>
        </w:rPr>
        <w:t>1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 Използваните от предприятието финансови инструменти</w:t>
      </w:r>
    </w:p>
    <w:p w14:paraId="2FE61390" w14:textId="77777777" w:rsidR="00D43EFE" w:rsidRPr="00285774" w:rsidRDefault="00D43EFE" w:rsidP="00D43EFE">
      <w:pPr>
        <w:jc w:val="both"/>
        <w:rPr>
          <w:rFonts w:ascii="Calibri" w:hAnsi="Calibri" w:cs="Calibri"/>
          <w:b/>
          <w:color w:val="FF0000"/>
          <w:sz w:val="22"/>
          <w:szCs w:val="22"/>
          <w:lang w:val="bg-BG" w:eastAsia="bg-BG"/>
        </w:rPr>
      </w:pPr>
    </w:p>
    <w:p w14:paraId="28895155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осъществяване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своята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изложено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кредитен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който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свързан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риска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някой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контрагентите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не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бъде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изпълни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изцяло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обичайно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предвидените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срокове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задълженията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него.</w:t>
      </w:r>
    </w:p>
    <w:p w14:paraId="3701F170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активи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концентрирани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две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групи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: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(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депозити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)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>.</w:t>
      </w:r>
    </w:p>
    <w:p w14:paraId="60981B12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предоставени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 в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банк</w:t>
      </w:r>
      <w:r w:rsidR="00E43DF7" w:rsidRPr="00285774">
        <w:rPr>
          <w:rFonts w:ascii="Calibri" w:hAnsi="Calibri" w:cs="Calibri"/>
          <w:sz w:val="22"/>
          <w:szCs w:val="22"/>
          <w:lang w:val="ru-RU"/>
        </w:rPr>
        <w:t>и</w:t>
      </w:r>
      <w:r w:rsidRPr="00285774">
        <w:rPr>
          <w:rFonts w:ascii="Calibri" w:hAnsi="Calibri" w:cs="Calibri"/>
          <w:sz w:val="22"/>
          <w:szCs w:val="22"/>
          <w:lang w:val="ru-RU"/>
        </w:rPr>
        <w:t xml:space="preserve">,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висока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репутация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стабилна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ликвидност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значително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ограничава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риска.</w:t>
      </w:r>
    </w:p>
    <w:p w14:paraId="46536305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По отношение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политиката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извършва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продажбите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условията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строго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лимитирани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срокове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плащане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Събираемостта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концентрацията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контролират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текущо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съгласно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установената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политика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индикатори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за проблем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-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прави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контакт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съответния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клиент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определяне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мерки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лимитиране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риска от загуби.</w:t>
      </w:r>
    </w:p>
    <w:p w14:paraId="080A9CB9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Излагането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кредитен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 е ограничено до размера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балансовата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стойност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активи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признати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края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отчетния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период,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както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посочено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по-долу</w:t>
      </w:r>
      <w:proofErr w:type="spellEnd"/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>:</w:t>
      </w:r>
    </w:p>
    <w:tbl>
      <w:tblPr>
        <w:tblW w:w="91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4"/>
        <w:gridCol w:w="1641"/>
        <w:gridCol w:w="1472"/>
      </w:tblGrid>
      <w:tr w:rsidR="00D43EFE" w:rsidRPr="00285774" w14:paraId="454F7244" w14:textId="77777777" w:rsidTr="004E420F">
        <w:trPr>
          <w:trHeight w:val="138"/>
        </w:trPr>
        <w:tc>
          <w:tcPr>
            <w:tcW w:w="6054" w:type="dxa"/>
            <w:shd w:val="clear" w:color="auto" w:fill="FFFFFF"/>
          </w:tcPr>
          <w:p w14:paraId="1A2B19E2" w14:textId="77777777" w:rsidR="00D43EFE" w:rsidRPr="00285774" w:rsidRDefault="00D43EFE" w:rsidP="004E420F">
            <w:pPr>
              <w:snapToGrid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641" w:type="dxa"/>
            <w:shd w:val="clear" w:color="auto" w:fill="FFFFFF"/>
          </w:tcPr>
          <w:p w14:paraId="028CC12E" w14:textId="77777777" w:rsidR="00D43EFE" w:rsidRPr="00285774" w:rsidRDefault="00D43EFE" w:rsidP="00256C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</w:t>
            </w:r>
            <w:r w:rsidR="00B36A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</w:t>
            </w: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.</w:t>
            </w:r>
            <w:r w:rsidR="00256C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03</w:t>
            </w: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.</w:t>
            </w: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20</w:t>
            </w:r>
            <w:r w:rsidR="008A6AB4"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</w:t>
            </w:r>
            <w:r w:rsidR="00256C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472" w:type="dxa"/>
            <w:shd w:val="clear" w:color="auto" w:fill="FFFFFF"/>
          </w:tcPr>
          <w:p w14:paraId="6CDBBF86" w14:textId="77777777" w:rsidR="00D43EFE" w:rsidRPr="00285774" w:rsidRDefault="00D43EFE" w:rsidP="00256C58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31.12.</w:t>
            </w: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20</w:t>
            </w:r>
            <w:r w:rsidR="00F11972"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</w:t>
            </w:r>
            <w:r w:rsidR="00256C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</w:tr>
      <w:tr w:rsidR="00D43EFE" w:rsidRPr="00285774" w14:paraId="5362820F" w14:textId="77777777" w:rsidTr="004E420F">
        <w:trPr>
          <w:trHeight w:val="182"/>
        </w:trPr>
        <w:tc>
          <w:tcPr>
            <w:tcW w:w="6054" w:type="dxa"/>
            <w:shd w:val="clear" w:color="auto" w:fill="FFFFFF"/>
          </w:tcPr>
          <w:p w14:paraId="13DF6B8E" w14:textId="77777777" w:rsidR="00D43EFE" w:rsidRPr="00285774" w:rsidRDefault="00D43EFE" w:rsidP="004E420F">
            <w:pPr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1" w:type="dxa"/>
            <w:shd w:val="clear" w:color="auto" w:fill="FFFFFF"/>
          </w:tcPr>
          <w:p w14:paraId="7D2DD9AF" w14:textId="77777777" w:rsidR="00D43EFE" w:rsidRPr="00285774" w:rsidRDefault="00D43EFE" w:rsidP="004E42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 xml:space="preserve">‘000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лв</w:t>
            </w:r>
            <w:proofErr w:type="spellEnd"/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472" w:type="dxa"/>
            <w:shd w:val="clear" w:color="auto" w:fill="FFFFFF"/>
          </w:tcPr>
          <w:p w14:paraId="63050A21" w14:textId="77777777" w:rsidR="00D43EFE" w:rsidRPr="00285774" w:rsidRDefault="00D43EFE" w:rsidP="004E42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 xml:space="preserve">‘000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лв</w:t>
            </w:r>
            <w:proofErr w:type="spellEnd"/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.</w:t>
            </w:r>
          </w:p>
        </w:tc>
      </w:tr>
      <w:tr w:rsidR="00D43EFE" w:rsidRPr="00506EF3" w14:paraId="50036A67" w14:textId="77777777" w:rsidTr="004E420F">
        <w:trPr>
          <w:trHeight w:val="182"/>
        </w:trPr>
        <w:tc>
          <w:tcPr>
            <w:tcW w:w="6054" w:type="dxa"/>
            <w:shd w:val="clear" w:color="auto" w:fill="FFFFFF"/>
          </w:tcPr>
          <w:p w14:paraId="05244CC6" w14:textId="77777777" w:rsidR="00D43EFE" w:rsidRPr="00285774" w:rsidRDefault="00D43EFE" w:rsidP="004E420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Групи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финансови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активи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 xml:space="preserve"> – </w:t>
            </w: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балансови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стойности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:</w:t>
            </w:r>
          </w:p>
        </w:tc>
        <w:tc>
          <w:tcPr>
            <w:tcW w:w="1641" w:type="dxa"/>
            <w:shd w:val="clear" w:color="auto" w:fill="FFFFFF"/>
          </w:tcPr>
          <w:p w14:paraId="5CA1FACE" w14:textId="77777777" w:rsidR="00D43EFE" w:rsidRPr="00285774" w:rsidRDefault="00D43EFE" w:rsidP="004E420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72" w:type="dxa"/>
            <w:shd w:val="clear" w:color="auto" w:fill="FFFFFF"/>
          </w:tcPr>
          <w:p w14:paraId="4D1F977D" w14:textId="77777777" w:rsidR="00D43EFE" w:rsidRPr="00285774" w:rsidRDefault="00D43EFE" w:rsidP="004E420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97655" w:rsidRPr="00285774" w14:paraId="784B142A" w14:textId="77777777" w:rsidTr="004E420F">
        <w:trPr>
          <w:trHeight w:val="182"/>
        </w:trPr>
        <w:tc>
          <w:tcPr>
            <w:tcW w:w="6054" w:type="dxa"/>
            <w:shd w:val="clear" w:color="auto" w:fill="FFFFFF"/>
            <w:vAlign w:val="bottom"/>
          </w:tcPr>
          <w:p w14:paraId="2E15E303" w14:textId="77777777" w:rsidR="00697655" w:rsidRPr="00285774" w:rsidRDefault="00697655" w:rsidP="00697655">
            <w:pPr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sz w:val="22"/>
                <w:szCs w:val="22"/>
                <w:lang w:val="bg-BG"/>
              </w:rPr>
              <w:t>Търговски и други вземания</w:t>
            </w:r>
          </w:p>
        </w:tc>
        <w:tc>
          <w:tcPr>
            <w:tcW w:w="1641" w:type="dxa"/>
            <w:shd w:val="clear" w:color="auto" w:fill="FFFFFF"/>
          </w:tcPr>
          <w:p w14:paraId="18B2ABA8" w14:textId="77777777" w:rsidR="00697655" w:rsidRPr="00285774" w:rsidRDefault="00256C58" w:rsidP="00697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472" w:type="dxa"/>
            <w:shd w:val="clear" w:color="auto" w:fill="FFFFFF"/>
          </w:tcPr>
          <w:p w14:paraId="196FFD09" w14:textId="77777777" w:rsidR="00697655" w:rsidRPr="00285774" w:rsidRDefault="00697655" w:rsidP="00697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</w:t>
            </w:r>
          </w:p>
        </w:tc>
      </w:tr>
      <w:tr w:rsidR="00697655" w:rsidRPr="00285774" w14:paraId="00DF3852" w14:textId="77777777" w:rsidTr="004E420F">
        <w:trPr>
          <w:trHeight w:val="182"/>
        </w:trPr>
        <w:tc>
          <w:tcPr>
            <w:tcW w:w="6054" w:type="dxa"/>
            <w:shd w:val="clear" w:color="auto" w:fill="FFFFFF"/>
            <w:vAlign w:val="bottom"/>
          </w:tcPr>
          <w:p w14:paraId="73517D8D" w14:textId="77777777" w:rsidR="00697655" w:rsidRPr="00285774" w:rsidRDefault="00697655" w:rsidP="00697655">
            <w:pPr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sz w:val="22"/>
                <w:szCs w:val="22"/>
                <w:lang w:val="bg-BG"/>
              </w:rPr>
              <w:t>Пари и парични еквиваленти</w:t>
            </w:r>
          </w:p>
        </w:tc>
        <w:tc>
          <w:tcPr>
            <w:tcW w:w="1641" w:type="dxa"/>
            <w:shd w:val="clear" w:color="auto" w:fill="FFFFFF"/>
          </w:tcPr>
          <w:p w14:paraId="184A7273" w14:textId="77777777" w:rsidR="00697655" w:rsidRPr="00285774" w:rsidRDefault="00697655" w:rsidP="00256C58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2 </w:t>
            </w:r>
            <w:r w:rsidR="00256C5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</w:t>
            </w:r>
          </w:p>
        </w:tc>
        <w:tc>
          <w:tcPr>
            <w:tcW w:w="1472" w:type="dxa"/>
            <w:shd w:val="clear" w:color="auto" w:fill="FFFFFF"/>
          </w:tcPr>
          <w:p w14:paraId="7B1572BA" w14:textId="77777777" w:rsidR="00697655" w:rsidRPr="00285774" w:rsidRDefault="00697655" w:rsidP="00697655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2 450</w:t>
            </w:r>
          </w:p>
        </w:tc>
      </w:tr>
      <w:tr w:rsidR="00697655" w:rsidRPr="00285774" w14:paraId="58FC0AF6" w14:textId="77777777" w:rsidTr="004E420F">
        <w:trPr>
          <w:trHeight w:val="182"/>
        </w:trPr>
        <w:tc>
          <w:tcPr>
            <w:tcW w:w="6054" w:type="dxa"/>
            <w:shd w:val="clear" w:color="auto" w:fill="FFFFFF"/>
          </w:tcPr>
          <w:p w14:paraId="0E8040E3" w14:textId="77777777" w:rsidR="00697655" w:rsidRPr="00285774" w:rsidRDefault="00697655" w:rsidP="0069765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5774">
              <w:rPr>
                <w:rFonts w:ascii="Calibri" w:hAnsi="Calibri" w:cs="Calibri"/>
                <w:b/>
                <w:color w:val="000000"/>
                <w:sz w:val="22"/>
                <w:szCs w:val="22"/>
                <w:lang w:eastAsia="bg-BG"/>
              </w:rPr>
              <w:t>Балансова</w:t>
            </w:r>
            <w:proofErr w:type="spellEnd"/>
            <w:r w:rsidRPr="00285774">
              <w:rPr>
                <w:rFonts w:ascii="Calibri" w:hAnsi="Calibri" w:cs="Calibri"/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b/>
                <w:color w:val="000000"/>
                <w:sz w:val="22"/>
                <w:szCs w:val="22"/>
                <w:lang w:eastAsia="bg-BG"/>
              </w:rPr>
              <w:t>стойност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6946068D" w14:textId="77777777" w:rsidR="00697655" w:rsidRPr="00285774" w:rsidRDefault="00697655" w:rsidP="00256C58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 w:eastAsia="bg-BG"/>
              </w:rPr>
              <w:t xml:space="preserve">2 </w:t>
            </w:r>
            <w:r w:rsidR="00256C58">
              <w:rPr>
                <w:rFonts w:ascii="Calibri" w:hAnsi="Calibri" w:cs="Calibri"/>
                <w:b/>
                <w:color w:val="000000"/>
                <w:sz w:val="22"/>
                <w:szCs w:val="22"/>
                <w:lang w:val="bg-BG" w:eastAsia="bg-BG"/>
              </w:rPr>
              <w:t>259</w:t>
            </w:r>
          </w:p>
        </w:tc>
        <w:tc>
          <w:tcPr>
            <w:tcW w:w="14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3E763C82" w14:textId="77777777" w:rsidR="00697655" w:rsidRPr="00285774" w:rsidRDefault="00697655" w:rsidP="00697655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 w:eastAsia="bg-BG"/>
              </w:rPr>
              <w:t>2 546</w:t>
            </w:r>
          </w:p>
        </w:tc>
      </w:tr>
    </w:tbl>
    <w:p w14:paraId="583D60FF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</w:rPr>
      </w:pPr>
    </w:p>
    <w:p w14:paraId="45BF0A7A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оценяването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управлението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ликвидния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отчита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очакваните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финансови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инструменти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по-специално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наличните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търговски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Съгласно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сключените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договори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всички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търговски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други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дължими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срок до един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месец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>.</w:t>
      </w:r>
    </w:p>
    <w:p w14:paraId="4D01BD1E" w14:textId="77777777" w:rsidR="00D43EFE" w:rsidRPr="00285774" w:rsidRDefault="00D43EFE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56C0F6B9" w14:textId="77777777" w:rsidR="003C1572" w:rsidRPr="00285774" w:rsidRDefault="003C1572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43C5F458" w14:textId="77777777" w:rsidR="003C1572" w:rsidRPr="00285774" w:rsidRDefault="003C1572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1C3BA558" w14:textId="77777777" w:rsidR="003C1572" w:rsidRPr="00285774" w:rsidRDefault="003C1572" w:rsidP="003C1572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София,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Pr="00285774">
        <w:rPr>
          <w:rFonts w:ascii="Calibri" w:hAnsi="Calibri" w:cs="Calibri"/>
          <w:b/>
          <w:sz w:val="22"/>
          <w:szCs w:val="22"/>
          <w:lang w:val="ru-RU" w:eastAsia="bg-BG"/>
        </w:rPr>
        <w:t xml:space="preserve">        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 Изпълнителен директор:</w:t>
      </w:r>
      <w:r w:rsidRPr="00285774">
        <w:rPr>
          <w:rFonts w:ascii="Calibri" w:hAnsi="Calibri" w:cs="Calibri"/>
          <w:b/>
          <w:sz w:val="22"/>
          <w:szCs w:val="22"/>
          <w:lang w:val="ru-RU" w:eastAsia="bg-BG"/>
        </w:rPr>
        <w:t>________________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</w:t>
      </w:r>
    </w:p>
    <w:p w14:paraId="3742DE7C" w14:textId="77777777" w:rsidR="003C1572" w:rsidRPr="00285774" w:rsidRDefault="006A43C0" w:rsidP="003C1572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2</w:t>
      </w:r>
      <w:r w:rsidR="00037879">
        <w:rPr>
          <w:rFonts w:ascii="Calibri" w:hAnsi="Calibri" w:cs="Calibri"/>
          <w:b/>
          <w:bCs/>
          <w:sz w:val="22"/>
          <w:szCs w:val="22"/>
          <w:lang w:val="bg-BG" w:eastAsia="bg-BG"/>
        </w:rPr>
        <w:t>3</w:t>
      </w:r>
      <w:r w:rsidR="003C1572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064F0D">
        <w:rPr>
          <w:rFonts w:ascii="Calibri" w:hAnsi="Calibri" w:cs="Calibri"/>
          <w:b/>
          <w:bCs/>
          <w:sz w:val="22"/>
          <w:szCs w:val="22"/>
          <w:lang w:val="bg-BG" w:eastAsia="bg-BG"/>
        </w:rPr>
        <w:t>0</w:t>
      </w:r>
      <w:r w:rsidR="00037879">
        <w:rPr>
          <w:rFonts w:ascii="Calibri" w:hAnsi="Calibri" w:cs="Calibri"/>
          <w:b/>
          <w:bCs/>
          <w:sz w:val="22"/>
          <w:szCs w:val="22"/>
          <w:lang w:val="bg-BG" w:eastAsia="bg-BG"/>
        </w:rPr>
        <w:t>4</w:t>
      </w:r>
      <w:r w:rsidR="003C1572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E1765D"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2</w:t>
      </w:r>
      <w:r w:rsidR="00064F0D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="003C1572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г.</w:t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ru-RU" w:eastAsia="bg-BG"/>
        </w:rPr>
        <w:t xml:space="preserve">                   </w:t>
      </w:r>
      <w:r w:rsidR="008C2719" w:rsidRPr="00285774">
        <w:rPr>
          <w:rFonts w:ascii="Calibri" w:hAnsi="Calibri" w:cs="Calibri"/>
          <w:b/>
          <w:sz w:val="22"/>
          <w:szCs w:val="22"/>
          <w:lang w:val="bg-BG"/>
        </w:rPr>
        <w:t>Валентин Стоилов</w:t>
      </w:r>
    </w:p>
    <w:sectPr w:rsidR="003C1572" w:rsidRPr="0028577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F5D9" w14:textId="77777777" w:rsidR="00DF20B9" w:rsidRDefault="00DF20B9" w:rsidP="0039099B">
      <w:r>
        <w:separator/>
      </w:r>
    </w:p>
  </w:endnote>
  <w:endnote w:type="continuationSeparator" w:id="0">
    <w:p w14:paraId="63C7BECB" w14:textId="77777777" w:rsidR="00DF20B9" w:rsidRDefault="00DF20B9" w:rsidP="0039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9FE9" w14:textId="77777777" w:rsidR="002F6497" w:rsidRDefault="002F64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697">
      <w:rPr>
        <w:noProof/>
      </w:rPr>
      <w:t>10</w:t>
    </w:r>
    <w:r>
      <w:rPr>
        <w:noProof/>
      </w:rPr>
      <w:fldChar w:fldCharType="end"/>
    </w:r>
  </w:p>
  <w:p w14:paraId="095CA024" w14:textId="77777777" w:rsidR="002F6497" w:rsidRDefault="002F6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7B2CB" w14:textId="77777777" w:rsidR="00DF20B9" w:rsidRDefault="00DF20B9" w:rsidP="0039099B">
      <w:r>
        <w:separator/>
      </w:r>
    </w:p>
  </w:footnote>
  <w:footnote w:type="continuationSeparator" w:id="0">
    <w:p w14:paraId="7D37DECA" w14:textId="77777777" w:rsidR="00DF20B9" w:rsidRDefault="00DF20B9" w:rsidP="0039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2" w15:restartNumberingAfterBreak="0">
    <w:nsid w:val="076F67C9"/>
    <w:multiLevelType w:val="hybridMultilevel"/>
    <w:tmpl w:val="1CDE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344D"/>
    <w:multiLevelType w:val="hybridMultilevel"/>
    <w:tmpl w:val="6FFEE5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1849"/>
    <w:multiLevelType w:val="hybridMultilevel"/>
    <w:tmpl w:val="790C3B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505A1"/>
    <w:multiLevelType w:val="hybridMultilevel"/>
    <w:tmpl w:val="DBAA8DC8"/>
    <w:lvl w:ilvl="0" w:tplc="11E035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3F6F"/>
    <w:multiLevelType w:val="hybridMultilevel"/>
    <w:tmpl w:val="B4B4FFE8"/>
    <w:lvl w:ilvl="0" w:tplc="B720EA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91992"/>
    <w:multiLevelType w:val="hybridMultilevel"/>
    <w:tmpl w:val="BEF40BC4"/>
    <w:lvl w:ilvl="0" w:tplc="083896C0">
      <w:start w:val="3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67C32"/>
    <w:multiLevelType w:val="hybridMultilevel"/>
    <w:tmpl w:val="8ECCA2DC"/>
    <w:lvl w:ilvl="0" w:tplc="7C1239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62690"/>
    <w:multiLevelType w:val="hybridMultilevel"/>
    <w:tmpl w:val="190E90B0"/>
    <w:lvl w:ilvl="0" w:tplc="11E035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D4625"/>
    <w:multiLevelType w:val="hybridMultilevel"/>
    <w:tmpl w:val="1DE43DF8"/>
    <w:lvl w:ilvl="0" w:tplc="9A426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742B2"/>
    <w:multiLevelType w:val="hybridMultilevel"/>
    <w:tmpl w:val="6166148A"/>
    <w:lvl w:ilvl="0" w:tplc="39D86E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E4DC8"/>
    <w:multiLevelType w:val="hybridMultilevel"/>
    <w:tmpl w:val="6396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06AA8"/>
    <w:multiLevelType w:val="hybridMultilevel"/>
    <w:tmpl w:val="B24CBDBA"/>
    <w:lvl w:ilvl="0" w:tplc="E9FAC7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17D0B"/>
    <w:multiLevelType w:val="hybridMultilevel"/>
    <w:tmpl w:val="89446D88"/>
    <w:lvl w:ilvl="0" w:tplc="10A874C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231A4C"/>
    <w:multiLevelType w:val="hybridMultilevel"/>
    <w:tmpl w:val="B5DAD9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8588A"/>
    <w:multiLevelType w:val="hybridMultilevel"/>
    <w:tmpl w:val="4580A022"/>
    <w:lvl w:ilvl="0" w:tplc="EA1030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631936">
    <w:abstractNumId w:val="0"/>
  </w:num>
  <w:num w:numId="2" w16cid:durableId="1399329735">
    <w:abstractNumId w:val="1"/>
  </w:num>
  <w:num w:numId="3" w16cid:durableId="2050957718">
    <w:abstractNumId w:val="2"/>
  </w:num>
  <w:num w:numId="4" w16cid:durableId="1588925281">
    <w:abstractNumId w:val="15"/>
  </w:num>
  <w:num w:numId="5" w16cid:durableId="897714304">
    <w:abstractNumId w:val="5"/>
  </w:num>
  <w:num w:numId="6" w16cid:durableId="1199780785">
    <w:abstractNumId w:val="9"/>
  </w:num>
  <w:num w:numId="7" w16cid:durableId="206987289">
    <w:abstractNumId w:val="10"/>
  </w:num>
  <w:num w:numId="8" w16cid:durableId="1616405722">
    <w:abstractNumId w:val="16"/>
  </w:num>
  <w:num w:numId="9" w16cid:durableId="35666044">
    <w:abstractNumId w:val="13"/>
  </w:num>
  <w:num w:numId="10" w16cid:durableId="1751386540">
    <w:abstractNumId w:val="14"/>
  </w:num>
  <w:num w:numId="11" w16cid:durableId="2125346526">
    <w:abstractNumId w:val="3"/>
  </w:num>
  <w:num w:numId="12" w16cid:durableId="475876972">
    <w:abstractNumId w:val="4"/>
  </w:num>
  <w:num w:numId="13" w16cid:durableId="2127305164">
    <w:abstractNumId w:val="11"/>
  </w:num>
  <w:num w:numId="14" w16cid:durableId="847866447">
    <w:abstractNumId w:val="6"/>
  </w:num>
  <w:num w:numId="15" w16cid:durableId="101846461">
    <w:abstractNumId w:val="12"/>
  </w:num>
  <w:num w:numId="16" w16cid:durableId="404764059">
    <w:abstractNumId w:val="8"/>
  </w:num>
  <w:num w:numId="17" w16cid:durableId="251666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FE"/>
    <w:rsid w:val="00001323"/>
    <w:rsid w:val="000065E0"/>
    <w:rsid w:val="000074C2"/>
    <w:rsid w:val="000133A6"/>
    <w:rsid w:val="00013AF1"/>
    <w:rsid w:val="00013C4A"/>
    <w:rsid w:val="00015EA4"/>
    <w:rsid w:val="00016862"/>
    <w:rsid w:val="000200EA"/>
    <w:rsid w:val="00020298"/>
    <w:rsid w:val="00023C19"/>
    <w:rsid w:val="000339A5"/>
    <w:rsid w:val="00035C8A"/>
    <w:rsid w:val="000367D2"/>
    <w:rsid w:val="00037695"/>
    <w:rsid w:val="00037879"/>
    <w:rsid w:val="00043991"/>
    <w:rsid w:val="000507C2"/>
    <w:rsid w:val="000509FC"/>
    <w:rsid w:val="00050AF1"/>
    <w:rsid w:val="0005369A"/>
    <w:rsid w:val="0005744B"/>
    <w:rsid w:val="000607A2"/>
    <w:rsid w:val="00060991"/>
    <w:rsid w:val="00061613"/>
    <w:rsid w:val="00063C74"/>
    <w:rsid w:val="00064F0D"/>
    <w:rsid w:val="00065A96"/>
    <w:rsid w:val="00065F2A"/>
    <w:rsid w:val="00067C0C"/>
    <w:rsid w:val="000701ED"/>
    <w:rsid w:val="000714BD"/>
    <w:rsid w:val="0007208E"/>
    <w:rsid w:val="0007306A"/>
    <w:rsid w:val="000754B0"/>
    <w:rsid w:val="00076299"/>
    <w:rsid w:val="000762F4"/>
    <w:rsid w:val="0008039B"/>
    <w:rsid w:val="0008069C"/>
    <w:rsid w:val="00081FCE"/>
    <w:rsid w:val="00082A48"/>
    <w:rsid w:val="00083438"/>
    <w:rsid w:val="00087778"/>
    <w:rsid w:val="000927A5"/>
    <w:rsid w:val="000A00ED"/>
    <w:rsid w:val="000A3280"/>
    <w:rsid w:val="000A35AD"/>
    <w:rsid w:val="000A43DA"/>
    <w:rsid w:val="000A477C"/>
    <w:rsid w:val="000A4FDC"/>
    <w:rsid w:val="000A7A56"/>
    <w:rsid w:val="000B27EE"/>
    <w:rsid w:val="000B63E9"/>
    <w:rsid w:val="000C256B"/>
    <w:rsid w:val="000D1549"/>
    <w:rsid w:val="000D17BD"/>
    <w:rsid w:val="000D2686"/>
    <w:rsid w:val="000D479A"/>
    <w:rsid w:val="000D763E"/>
    <w:rsid w:val="000F01DF"/>
    <w:rsid w:val="000F19E8"/>
    <w:rsid w:val="000F3196"/>
    <w:rsid w:val="000F34F7"/>
    <w:rsid w:val="000F4353"/>
    <w:rsid w:val="000F4AC2"/>
    <w:rsid w:val="000F664C"/>
    <w:rsid w:val="000F72B3"/>
    <w:rsid w:val="001049B7"/>
    <w:rsid w:val="001055D9"/>
    <w:rsid w:val="001112E1"/>
    <w:rsid w:val="0011284F"/>
    <w:rsid w:val="00112F97"/>
    <w:rsid w:val="001132EC"/>
    <w:rsid w:val="00113345"/>
    <w:rsid w:val="00120F87"/>
    <w:rsid w:val="00121A00"/>
    <w:rsid w:val="00126F45"/>
    <w:rsid w:val="0012708A"/>
    <w:rsid w:val="0013107C"/>
    <w:rsid w:val="00132568"/>
    <w:rsid w:val="001338CF"/>
    <w:rsid w:val="00134796"/>
    <w:rsid w:val="001421B2"/>
    <w:rsid w:val="00142E08"/>
    <w:rsid w:val="001445D8"/>
    <w:rsid w:val="001449A7"/>
    <w:rsid w:val="001451ED"/>
    <w:rsid w:val="001467A9"/>
    <w:rsid w:val="001519BC"/>
    <w:rsid w:val="0015441A"/>
    <w:rsid w:val="0015486C"/>
    <w:rsid w:val="001555DE"/>
    <w:rsid w:val="0015579D"/>
    <w:rsid w:val="00156B88"/>
    <w:rsid w:val="00174BBF"/>
    <w:rsid w:val="00180AB9"/>
    <w:rsid w:val="00180FCE"/>
    <w:rsid w:val="00186D7B"/>
    <w:rsid w:val="00192047"/>
    <w:rsid w:val="0019393A"/>
    <w:rsid w:val="00196981"/>
    <w:rsid w:val="00197C10"/>
    <w:rsid w:val="001A05E3"/>
    <w:rsid w:val="001A09C8"/>
    <w:rsid w:val="001A47B7"/>
    <w:rsid w:val="001B5FC9"/>
    <w:rsid w:val="001C34FF"/>
    <w:rsid w:val="001C35CC"/>
    <w:rsid w:val="001C43CC"/>
    <w:rsid w:val="001C514F"/>
    <w:rsid w:val="001D1521"/>
    <w:rsid w:val="001D5A6F"/>
    <w:rsid w:val="001D7A17"/>
    <w:rsid w:val="001E3ED1"/>
    <w:rsid w:val="001E4C09"/>
    <w:rsid w:val="001E71AA"/>
    <w:rsid w:val="001F10FB"/>
    <w:rsid w:val="001F205A"/>
    <w:rsid w:val="001F2513"/>
    <w:rsid w:val="001F5215"/>
    <w:rsid w:val="00200286"/>
    <w:rsid w:val="00201FBA"/>
    <w:rsid w:val="00205C1F"/>
    <w:rsid w:val="00207301"/>
    <w:rsid w:val="002157A5"/>
    <w:rsid w:val="002214FA"/>
    <w:rsid w:val="002324F1"/>
    <w:rsid w:val="00232683"/>
    <w:rsid w:val="002338DF"/>
    <w:rsid w:val="002408FB"/>
    <w:rsid w:val="002470A5"/>
    <w:rsid w:val="002512EA"/>
    <w:rsid w:val="002519DE"/>
    <w:rsid w:val="002519E5"/>
    <w:rsid w:val="00256C58"/>
    <w:rsid w:val="00264F31"/>
    <w:rsid w:val="002747CB"/>
    <w:rsid w:val="00275AB5"/>
    <w:rsid w:val="00275B49"/>
    <w:rsid w:val="00282E8C"/>
    <w:rsid w:val="00285774"/>
    <w:rsid w:val="002933EC"/>
    <w:rsid w:val="002938E9"/>
    <w:rsid w:val="00295428"/>
    <w:rsid w:val="002973EE"/>
    <w:rsid w:val="002A1FA2"/>
    <w:rsid w:val="002A203A"/>
    <w:rsid w:val="002A25C3"/>
    <w:rsid w:val="002A317F"/>
    <w:rsid w:val="002A53FD"/>
    <w:rsid w:val="002A7875"/>
    <w:rsid w:val="002B118C"/>
    <w:rsid w:val="002B3817"/>
    <w:rsid w:val="002B59CD"/>
    <w:rsid w:val="002B7794"/>
    <w:rsid w:val="002C7778"/>
    <w:rsid w:val="002D212F"/>
    <w:rsid w:val="002D3A1F"/>
    <w:rsid w:val="002D6BF7"/>
    <w:rsid w:val="002E1FCB"/>
    <w:rsid w:val="002E4435"/>
    <w:rsid w:val="002E5AA8"/>
    <w:rsid w:val="002E615D"/>
    <w:rsid w:val="002F0D86"/>
    <w:rsid w:val="002F34A1"/>
    <w:rsid w:val="002F5E30"/>
    <w:rsid w:val="002F6497"/>
    <w:rsid w:val="002F7ECD"/>
    <w:rsid w:val="0030033C"/>
    <w:rsid w:val="00300D06"/>
    <w:rsid w:val="003040D5"/>
    <w:rsid w:val="00305B45"/>
    <w:rsid w:val="00320DE2"/>
    <w:rsid w:val="0033056F"/>
    <w:rsid w:val="00330A9A"/>
    <w:rsid w:val="003312D4"/>
    <w:rsid w:val="00331662"/>
    <w:rsid w:val="003317ED"/>
    <w:rsid w:val="00334120"/>
    <w:rsid w:val="00337F38"/>
    <w:rsid w:val="0034046B"/>
    <w:rsid w:val="00344366"/>
    <w:rsid w:val="00344D42"/>
    <w:rsid w:val="00346AE1"/>
    <w:rsid w:val="00357BB6"/>
    <w:rsid w:val="00360173"/>
    <w:rsid w:val="00360873"/>
    <w:rsid w:val="0036097D"/>
    <w:rsid w:val="0036419F"/>
    <w:rsid w:val="003726E4"/>
    <w:rsid w:val="00374431"/>
    <w:rsid w:val="00374FDC"/>
    <w:rsid w:val="003763E1"/>
    <w:rsid w:val="00381812"/>
    <w:rsid w:val="00386CD1"/>
    <w:rsid w:val="00387754"/>
    <w:rsid w:val="0039099B"/>
    <w:rsid w:val="00391722"/>
    <w:rsid w:val="00393CA7"/>
    <w:rsid w:val="003953F1"/>
    <w:rsid w:val="00397FA4"/>
    <w:rsid w:val="003A346B"/>
    <w:rsid w:val="003A4A3D"/>
    <w:rsid w:val="003A53AB"/>
    <w:rsid w:val="003C1572"/>
    <w:rsid w:val="003C64B4"/>
    <w:rsid w:val="003D22B6"/>
    <w:rsid w:val="003D377A"/>
    <w:rsid w:val="003D41E9"/>
    <w:rsid w:val="003D4314"/>
    <w:rsid w:val="003D5E1F"/>
    <w:rsid w:val="003D7528"/>
    <w:rsid w:val="003E7A65"/>
    <w:rsid w:val="003F1017"/>
    <w:rsid w:val="003F2E6C"/>
    <w:rsid w:val="003F4E1E"/>
    <w:rsid w:val="003F70E0"/>
    <w:rsid w:val="00400670"/>
    <w:rsid w:val="00403E74"/>
    <w:rsid w:val="00404F15"/>
    <w:rsid w:val="0040770B"/>
    <w:rsid w:val="0041254A"/>
    <w:rsid w:val="004145A2"/>
    <w:rsid w:val="00414CE5"/>
    <w:rsid w:val="00415968"/>
    <w:rsid w:val="00416CC8"/>
    <w:rsid w:val="004174FB"/>
    <w:rsid w:val="004203C9"/>
    <w:rsid w:val="00421E1B"/>
    <w:rsid w:val="004336EE"/>
    <w:rsid w:val="00436B13"/>
    <w:rsid w:val="00441860"/>
    <w:rsid w:val="00441ECD"/>
    <w:rsid w:val="00446AE3"/>
    <w:rsid w:val="004519CC"/>
    <w:rsid w:val="00452F22"/>
    <w:rsid w:val="00455944"/>
    <w:rsid w:val="004600C8"/>
    <w:rsid w:val="00464A74"/>
    <w:rsid w:val="00473126"/>
    <w:rsid w:val="00474F80"/>
    <w:rsid w:val="00480BF8"/>
    <w:rsid w:val="00484076"/>
    <w:rsid w:val="004854BE"/>
    <w:rsid w:val="00486323"/>
    <w:rsid w:val="0048748A"/>
    <w:rsid w:val="00492F99"/>
    <w:rsid w:val="004940BA"/>
    <w:rsid w:val="004943FA"/>
    <w:rsid w:val="00494780"/>
    <w:rsid w:val="00495C96"/>
    <w:rsid w:val="00496C52"/>
    <w:rsid w:val="004A45F7"/>
    <w:rsid w:val="004A7333"/>
    <w:rsid w:val="004B0F2A"/>
    <w:rsid w:val="004B23EF"/>
    <w:rsid w:val="004B5C76"/>
    <w:rsid w:val="004B65C4"/>
    <w:rsid w:val="004C10A2"/>
    <w:rsid w:val="004C48FB"/>
    <w:rsid w:val="004C5B8E"/>
    <w:rsid w:val="004D0AA4"/>
    <w:rsid w:val="004D2EAC"/>
    <w:rsid w:val="004D2F90"/>
    <w:rsid w:val="004D328C"/>
    <w:rsid w:val="004D41D8"/>
    <w:rsid w:val="004D43BA"/>
    <w:rsid w:val="004E28C5"/>
    <w:rsid w:val="004E2F57"/>
    <w:rsid w:val="004E420F"/>
    <w:rsid w:val="004F5206"/>
    <w:rsid w:val="004F5C22"/>
    <w:rsid w:val="004F61F7"/>
    <w:rsid w:val="004F7926"/>
    <w:rsid w:val="00502BEF"/>
    <w:rsid w:val="00503F0D"/>
    <w:rsid w:val="005066B1"/>
    <w:rsid w:val="00506EF3"/>
    <w:rsid w:val="00510A5F"/>
    <w:rsid w:val="005111B1"/>
    <w:rsid w:val="005127AA"/>
    <w:rsid w:val="00513195"/>
    <w:rsid w:val="00522CCE"/>
    <w:rsid w:val="005239B1"/>
    <w:rsid w:val="00530A03"/>
    <w:rsid w:val="005316F3"/>
    <w:rsid w:val="00534046"/>
    <w:rsid w:val="00541E84"/>
    <w:rsid w:val="00550135"/>
    <w:rsid w:val="0055017B"/>
    <w:rsid w:val="00550FED"/>
    <w:rsid w:val="00552731"/>
    <w:rsid w:val="00552A4D"/>
    <w:rsid w:val="00555FD8"/>
    <w:rsid w:val="00556D34"/>
    <w:rsid w:val="00556EDC"/>
    <w:rsid w:val="00557187"/>
    <w:rsid w:val="005603C8"/>
    <w:rsid w:val="005610EC"/>
    <w:rsid w:val="005616B1"/>
    <w:rsid w:val="00561ED5"/>
    <w:rsid w:val="00561ED9"/>
    <w:rsid w:val="0056219E"/>
    <w:rsid w:val="00564701"/>
    <w:rsid w:val="0056662D"/>
    <w:rsid w:val="005704E0"/>
    <w:rsid w:val="00571F75"/>
    <w:rsid w:val="0057337D"/>
    <w:rsid w:val="00577030"/>
    <w:rsid w:val="00580A12"/>
    <w:rsid w:val="00586A52"/>
    <w:rsid w:val="0058715D"/>
    <w:rsid w:val="00591132"/>
    <w:rsid w:val="005911EF"/>
    <w:rsid w:val="00591D45"/>
    <w:rsid w:val="0059353F"/>
    <w:rsid w:val="00594D19"/>
    <w:rsid w:val="00595841"/>
    <w:rsid w:val="0059587E"/>
    <w:rsid w:val="005A0143"/>
    <w:rsid w:val="005A0B0E"/>
    <w:rsid w:val="005A1370"/>
    <w:rsid w:val="005A2037"/>
    <w:rsid w:val="005A4214"/>
    <w:rsid w:val="005A495E"/>
    <w:rsid w:val="005A50A0"/>
    <w:rsid w:val="005A772B"/>
    <w:rsid w:val="005B2E41"/>
    <w:rsid w:val="005B35B2"/>
    <w:rsid w:val="005B60FA"/>
    <w:rsid w:val="005C4C4C"/>
    <w:rsid w:val="005D53CD"/>
    <w:rsid w:val="005E1E87"/>
    <w:rsid w:val="005E1ED5"/>
    <w:rsid w:val="005E3159"/>
    <w:rsid w:val="005E6A39"/>
    <w:rsid w:val="005E6DCF"/>
    <w:rsid w:val="005F2EBE"/>
    <w:rsid w:val="005F34C9"/>
    <w:rsid w:val="005F4B44"/>
    <w:rsid w:val="005F52CB"/>
    <w:rsid w:val="0060168D"/>
    <w:rsid w:val="00602202"/>
    <w:rsid w:val="00604666"/>
    <w:rsid w:val="00610BE6"/>
    <w:rsid w:val="00613B7D"/>
    <w:rsid w:val="006148DE"/>
    <w:rsid w:val="006148EB"/>
    <w:rsid w:val="006312A1"/>
    <w:rsid w:val="00633576"/>
    <w:rsid w:val="00634476"/>
    <w:rsid w:val="00634CA2"/>
    <w:rsid w:val="006359CF"/>
    <w:rsid w:val="00641CF5"/>
    <w:rsid w:val="00644D3B"/>
    <w:rsid w:val="00646A50"/>
    <w:rsid w:val="0065103D"/>
    <w:rsid w:val="006543B5"/>
    <w:rsid w:val="006545C1"/>
    <w:rsid w:val="00656C8D"/>
    <w:rsid w:val="00656CD0"/>
    <w:rsid w:val="00656D51"/>
    <w:rsid w:val="00660AA6"/>
    <w:rsid w:val="006612AB"/>
    <w:rsid w:val="00665340"/>
    <w:rsid w:val="0066770B"/>
    <w:rsid w:val="00670620"/>
    <w:rsid w:val="00671992"/>
    <w:rsid w:val="006755A3"/>
    <w:rsid w:val="0068086D"/>
    <w:rsid w:val="006863A1"/>
    <w:rsid w:val="006863FC"/>
    <w:rsid w:val="00687492"/>
    <w:rsid w:val="00692EAA"/>
    <w:rsid w:val="00695723"/>
    <w:rsid w:val="00697655"/>
    <w:rsid w:val="006A1331"/>
    <w:rsid w:val="006A21C5"/>
    <w:rsid w:val="006A2D8B"/>
    <w:rsid w:val="006A2F1E"/>
    <w:rsid w:val="006A43C0"/>
    <w:rsid w:val="006A5599"/>
    <w:rsid w:val="006A77F9"/>
    <w:rsid w:val="006B46E9"/>
    <w:rsid w:val="006C0B67"/>
    <w:rsid w:val="006C22DB"/>
    <w:rsid w:val="006C58E3"/>
    <w:rsid w:val="006C5A60"/>
    <w:rsid w:val="006C7901"/>
    <w:rsid w:val="006D190B"/>
    <w:rsid w:val="006D21C7"/>
    <w:rsid w:val="006D3FE1"/>
    <w:rsid w:val="006E061C"/>
    <w:rsid w:val="006E0F0E"/>
    <w:rsid w:val="006E584C"/>
    <w:rsid w:val="006E6E46"/>
    <w:rsid w:val="006F5C80"/>
    <w:rsid w:val="00701D25"/>
    <w:rsid w:val="007102A1"/>
    <w:rsid w:val="00710AA4"/>
    <w:rsid w:val="00712918"/>
    <w:rsid w:val="00722880"/>
    <w:rsid w:val="0072438C"/>
    <w:rsid w:val="00724649"/>
    <w:rsid w:val="0072542D"/>
    <w:rsid w:val="007321ED"/>
    <w:rsid w:val="0073626F"/>
    <w:rsid w:val="00750EDB"/>
    <w:rsid w:val="0075702A"/>
    <w:rsid w:val="007609BD"/>
    <w:rsid w:val="00762B8E"/>
    <w:rsid w:val="00765A89"/>
    <w:rsid w:val="00766992"/>
    <w:rsid w:val="00767AC6"/>
    <w:rsid w:val="007766D7"/>
    <w:rsid w:val="00777172"/>
    <w:rsid w:val="00777305"/>
    <w:rsid w:val="0078629F"/>
    <w:rsid w:val="0078696A"/>
    <w:rsid w:val="00787039"/>
    <w:rsid w:val="00790DBD"/>
    <w:rsid w:val="00791D1E"/>
    <w:rsid w:val="007930E0"/>
    <w:rsid w:val="00793107"/>
    <w:rsid w:val="007A63DE"/>
    <w:rsid w:val="007B02E2"/>
    <w:rsid w:val="007B2E13"/>
    <w:rsid w:val="007B59E1"/>
    <w:rsid w:val="007C399B"/>
    <w:rsid w:val="007C4A67"/>
    <w:rsid w:val="007C5903"/>
    <w:rsid w:val="007D03E8"/>
    <w:rsid w:val="007D5BE9"/>
    <w:rsid w:val="007D69E3"/>
    <w:rsid w:val="007E778E"/>
    <w:rsid w:val="007F10C7"/>
    <w:rsid w:val="007F3AD3"/>
    <w:rsid w:val="00801206"/>
    <w:rsid w:val="00805012"/>
    <w:rsid w:val="00805D95"/>
    <w:rsid w:val="0081047D"/>
    <w:rsid w:val="008162BA"/>
    <w:rsid w:val="00816A0D"/>
    <w:rsid w:val="0082354B"/>
    <w:rsid w:val="00825393"/>
    <w:rsid w:val="00831551"/>
    <w:rsid w:val="00834BBB"/>
    <w:rsid w:val="0083617A"/>
    <w:rsid w:val="00837E16"/>
    <w:rsid w:val="00843FE1"/>
    <w:rsid w:val="008511AC"/>
    <w:rsid w:val="008575F4"/>
    <w:rsid w:val="00861697"/>
    <w:rsid w:val="00863DC1"/>
    <w:rsid w:val="0086687A"/>
    <w:rsid w:val="008706FB"/>
    <w:rsid w:val="00871291"/>
    <w:rsid w:val="00877B28"/>
    <w:rsid w:val="00883E4B"/>
    <w:rsid w:val="00890914"/>
    <w:rsid w:val="0089190C"/>
    <w:rsid w:val="008945A5"/>
    <w:rsid w:val="0089684F"/>
    <w:rsid w:val="00897659"/>
    <w:rsid w:val="00897F6A"/>
    <w:rsid w:val="008A0B0E"/>
    <w:rsid w:val="008A1188"/>
    <w:rsid w:val="008A30E5"/>
    <w:rsid w:val="008A5195"/>
    <w:rsid w:val="008A6AB4"/>
    <w:rsid w:val="008A70A3"/>
    <w:rsid w:val="008A7EB8"/>
    <w:rsid w:val="008B2287"/>
    <w:rsid w:val="008B2821"/>
    <w:rsid w:val="008B52F0"/>
    <w:rsid w:val="008B55D9"/>
    <w:rsid w:val="008B77E1"/>
    <w:rsid w:val="008C04CE"/>
    <w:rsid w:val="008C2719"/>
    <w:rsid w:val="008C6D46"/>
    <w:rsid w:val="008D3ECF"/>
    <w:rsid w:val="008D4872"/>
    <w:rsid w:val="008E0DF5"/>
    <w:rsid w:val="008E3062"/>
    <w:rsid w:val="008E38A8"/>
    <w:rsid w:val="008E5D5D"/>
    <w:rsid w:val="008E5E4C"/>
    <w:rsid w:val="008F2E97"/>
    <w:rsid w:val="008F31F0"/>
    <w:rsid w:val="0090101D"/>
    <w:rsid w:val="00901990"/>
    <w:rsid w:val="00903B24"/>
    <w:rsid w:val="00905F77"/>
    <w:rsid w:val="00910519"/>
    <w:rsid w:val="00910F7E"/>
    <w:rsid w:val="009135CF"/>
    <w:rsid w:val="00915614"/>
    <w:rsid w:val="00915CF4"/>
    <w:rsid w:val="00916452"/>
    <w:rsid w:val="00924EDB"/>
    <w:rsid w:val="0092710B"/>
    <w:rsid w:val="0093021E"/>
    <w:rsid w:val="009337A1"/>
    <w:rsid w:val="009366FC"/>
    <w:rsid w:val="0094081F"/>
    <w:rsid w:val="00941ECD"/>
    <w:rsid w:val="009464A9"/>
    <w:rsid w:val="00954017"/>
    <w:rsid w:val="00956F5F"/>
    <w:rsid w:val="00961277"/>
    <w:rsid w:val="00961664"/>
    <w:rsid w:val="00965B8C"/>
    <w:rsid w:val="009677EE"/>
    <w:rsid w:val="009702A3"/>
    <w:rsid w:val="00971017"/>
    <w:rsid w:val="00971A9A"/>
    <w:rsid w:val="009738E0"/>
    <w:rsid w:val="00976336"/>
    <w:rsid w:val="009856E6"/>
    <w:rsid w:val="00990092"/>
    <w:rsid w:val="009916D3"/>
    <w:rsid w:val="0099241D"/>
    <w:rsid w:val="0099377D"/>
    <w:rsid w:val="00996309"/>
    <w:rsid w:val="0099788B"/>
    <w:rsid w:val="009A2545"/>
    <w:rsid w:val="009A3115"/>
    <w:rsid w:val="009A5CEE"/>
    <w:rsid w:val="009A69CB"/>
    <w:rsid w:val="009A7F39"/>
    <w:rsid w:val="009B107B"/>
    <w:rsid w:val="009B349E"/>
    <w:rsid w:val="009B5B88"/>
    <w:rsid w:val="009C0170"/>
    <w:rsid w:val="009C1588"/>
    <w:rsid w:val="009C79D9"/>
    <w:rsid w:val="009D383B"/>
    <w:rsid w:val="009D4BF4"/>
    <w:rsid w:val="009D587A"/>
    <w:rsid w:val="009D7B79"/>
    <w:rsid w:val="009E4552"/>
    <w:rsid w:val="009E5A85"/>
    <w:rsid w:val="009F0BFE"/>
    <w:rsid w:val="009F4199"/>
    <w:rsid w:val="009F4F34"/>
    <w:rsid w:val="009F5914"/>
    <w:rsid w:val="00A0165C"/>
    <w:rsid w:val="00A024CA"/>
    <w:rsid w:val="00A0341D"/>
    <w:rsid w:val="00A05FD3"/>
    <w:rsid w:val="00A10513"/>
    <w:rsid w:val="00A130DF"/>
    <w:rsid w:val="00A13E05"/>
    <w:rsid w:val="00A14DC2"/>
    <w:rsid w:val="00A1772C"/>
    <w:rsid w:val="00A2275B"/>
    <w:rsid w:val="00A26D16"/>
    <w:rsid w:val="00A31466"/>
    <w:rsid w:val="00A31FCE"/>
    <w:rsid w:val="00A36FDE"/>
    <w:rsid w:val="00A41821"/>
    <w:rsid w:val="00A41EC4"/>
    <w:rsid w:val="00A46A73"/>
    <w:rsid w:val="00A501D7"/>
    <w:rsid w:val="00A519B5"/>
    <w:rsid w:val="00A52967"/>
    <w:rsid w:val="00A63F5C"/>
    <w:rsid w:val="00A65CB7"/>
    <w:rsid w:val="00A6762B"/>
    <w:rsid w:val="00A6782F"/>
    <w:rsid w:val="00A8094A"/>
    <w:rsid w:val="00A81850"/>
    <w:rsid w:val="00A84375"/>
    <w:rsid w:val="00A8456E"/>
    <w:rsid w:val="00A86CB2"/>
    <w:rsid w:val="00A86F21"/>
    <w:rsid w:val="00A878A2"/>
    <w:rsid w:val="00A902DE"/>
    <w:rsid w:val="00A94D66"/>
    <w:rsid w:val="00A94D68"/>
    <w:rsid w:val="00AA1196"/>
    <w:rsid w:val="00AA2526"/>
    <w:rsid w:val="00AB13FF"/>
    <w:rsid w:val="00AB3BBE"/>
    <w:rsid w:val="00AB63E2"/>
    <w:rsid w:val="00AD6ADD"/>
    <w:rsid w:val="00AE030E"/>
    <w:rsid w:val="00AE2421"/>
    <w:rsid w:val="00AE52FF"/>
    <w:rsid w:val="00AE6187"/>
    <w:rsid w:val="00AF115C"/>
    <w:rsid w:val="00AF4D16"/>
    <w:rsid w:val="00B06529"/>
    <w:rsid w:val="00B10C06"/>
    <w:rsid w:val="00B11518"/>
    <w:rsid w:val="00B2235F"/>
    <w:rsid w:val="00B23565"/>
    <w:rsid w:val="00B235D6"/>
    <w:rsid w:val="00B264B3"/>
    <w:rsid w:val="00B3591E"/>
    <w:rsid w:val="00B36A7C"/>
    <w:rsid w:val="00B41252"/>
    <w:rsid w:val="00B44A7B"/>
    <w:rsid w:val="00B46DB0"/>
    <w:rsid w:val="00B473A2"/>
    <w:rsid w:val="00B53D37"/>
    <w:rsid w:val="00B5787B"/>
    <w:rsid w:val="00B62570"/>
    <w:rsid w:val="00B64486"/>
    <w:rsid w:val="00B670B8"/>
    <w:rsid w:val="00B672F7"/>
    <w:rsid w:val="00B67385"/>
    <w:rsid w:val="00B71BC4"/>
    <w:rsid w:val="00B74C11"/>
    <w:rsid w:val="00B74F8C"/>
    <w:rsid w:val="00B835DA"/>
    <w:rsid w:val="00B83FBC"/>
    <w:rsid w:val="00B843DE"/>
    <w:rsid w:val="00B84C47"/>
    <w:rsid w:val="00B8600A"/>
    <w:rsid w:val="00B90EC8"/>
    <w:rsid w:val="00B918AE"/>
    <w:rsid w:val="00B97405"/>
    <w:rsid w:val="00B97D59"/>
    <w:rsid w:val="00BC1B66"/>
    <w:rsid w:val="00BC431B"/>
    <w:rsid w:val="00BC48B3"/>
    <w:rsid w:val="00BC6CE0"/>
    <w:rsid w:val="00BD2691"/>
    <w:rsid w:val="00BD6279"/>
    <w:rsid w:val="00BE1232"/>
    <w:rsid w:val="00BF1096"/>
    <w:rsid w:val="00BF2FBC"/>
    <w:rsid w:val="00BF3FB4"/>
    <w:rsid w:val="00BF616F"/>
    <w:rsid w:val="00BF626C"/>
    <w:rsid w:val="00C0110D"/>
    <w:rsid w:val="00C023A7"/>
    <w:rsid w:val="00C1047F"/>
    <w:rsid w:val="00C12179"/>
    <w:rsid w:val="00C129CF"/>
    <w:rsid w:val="00C21866"/>
    <w:rsid w:val="00C25981"/>
    <w:rsid w:val="00C2645B"/>
    <w:rsid w:val="00C30DD6"/>
    <w:rsid w:val="00C317D0"/>
    <w:rsid w:val="00C3561D"/>
    <w:rsid w:val="00C35BFF"/>
    <w:rsid w:val="00C37184"/>
    <w:rsid w:val="00C40576"/>
    <w:rsid w:val="00C43ED7"/>
    <w:rsid w:val="00C45895"/>
    <w:rsid w:val="00C46B8C"/>
    <w:rsid w:val="00C4737D"/>
    <w:rsid w:val="00C500A6"/>
    <w:rsid w:val="00C57240"/>
    <w:rsid w:val="00C6128B"/>
    <w:rsid w:val="00C62251"/>
    <w:rsid w:val="00C6431C"/>
    <w:rsid w:val="00C67177"/>
    <w:rsid w:val="00C67719"/>
    <w:rsid w:val="00C67A44"/>
    <w:rsid w:val="00C7079A"/>
    <w:rsid w:val="00C772C3"/>
    <w:rsid w:val="00C94966"/>
    <w:rsid w:val="00CA1FB2"/>
    <w:rsid w:val="00CA3B93"/>
    <w:rsid w:val="00CB12C5"/>
    <w:rsid w:val="00CB3AB9"/>
    <w:rsid w:val="00CB441A"/>
    <w:rsid w:val="00CC31F6"/>
    <w:rsid w:val="00CC4362"/>
    <w:rsid w:val="00CC4619"/>
    <w:rsid w:val="00CC52D3"/>
    <w:rsid w:val="00CC5447"/>
    <w:rsid w:val="00CC789F"/>
    <w:rsid w:val="00CD1064"/>
    <w:rsid w:val="00CD11AE"/>
    <w:rsid w:val="00CD3681"/>
    <w:rsid w:val="00CD3A4F"/>
    <w:rsid w:val="00CD4E78"/>
    <w:rsid w:val="00CD77F0"/>
    <w:rsid w:val="00CD7D3A"/>
    <w:rsid w:val="00CE31E3"/>
    <w:rsid w:val="00CE3A4A"/>
    <w:rsid w:val="00CE4446"/>
    <w:rsid w:val="00CF5C18"/>
    <w:rsid w:val="00D01CB3"/>
    <w:rsid w:val="00D02552"/>
    <w:rsid w:val="00D0464B"/>
    <w:rsid w:val="00D05B04"/>
    <w:rsid w:val="00D07047"/>
    <w:rsid w:val="00D07535"/>
    <w:rsid w:val="00D111EE"/>
    <w:rsid w:val="00D15A65"/>
    <w:rsid w:val="00D1779A"/>
    <w:rsid w:val="00D20254"/>
    <w:rsid w:val="00D20FE7"/>
    <w:rsid w:val="00D216CB"/>
    <w:rsid w:val="00D2470D"/>
    <w:rsid w:val="00D253DB"/>
    <w:rsid w:val="00D25E25"/>
    <w:rsid w:val="00D270A9"/>
    <w:rsid w:val="00D27A6E"/>
    <w:rsid w:val="00D31F4F"/>
    <w:rsid w:val="00D325DF"/>
    <w:rsid w:val="00D3496E"/>
    <w:rsid w:val="00D35719"/>
    <w:rsid w:val="00D3669E"/>
    <w:rsid w:val="00D36FFA"/>
    <w:rsid w:val="00D37BC0"/>
    <w:rsid w:val="00D436A7"/>
    <w:rsid w:val="00D43EFE"/>
    <w:rsid w:val="00D459C1"/>
    <w:rsid w:val="00D501BF"/>
    <w:rsid w:val="00D52FE5"/>
    <w:rsid w:val="00D55014"/>
    <w:rsid w:val="00D6219D"/>
    <w:rsid w:val="00D65F57"/>
    <w:rsid w:val="00D73513"/>
    <w:rsid w:val="00D73DED"/>
    <w:rsid w:val="00D73F27"/>
    <w:rsid w:val="00D73FCB"/>
    <w:rsid w:val="00D7433E"/>
    <w:rsid w:val="00D7446A"/>
    <w:rsid w:val="00D74F4D"/>
    <w:rsid w:val="00D766AC"/>
    <w:rsid w:val="00D82000"/>
    <w:rsid w:val="00D83DAF"/>
    <w:rsid w:val="00D85A5A"/>
    <w:rsid w:val="00D9037C"/>
    <w:rsid w:val="00D93098"/>
    <w:rsid w:val="00D94D5D"/>
    <w:rsid w:val="00D9578C"/>
    <w:rsid w:val="00D96B1F"/>
    <w:rsid w:val="00DA08CA"/>
    <w:rsid w:val="00DA1397"/>
    <w:rsid w:val="00DA181D"/>
    <w:rsid w:val="00DA2577"/>
    <w:rsid w:val="00DA2B0D"/>
    <w:rsid w:val="00DA32A8"/>
    <w:rsid w:val="00DA4AD9"/>
    <w:rsid w:val="00DB20FF"/>
    <w:rsid w:val="00DB7164"/>
    <w:rsid w:val="00DC42AE"/>
    <w:rsid w:val="00DC51B6"/>
    <w:rsid w:val="00DC5FBE"/>
    <w:rsid w:val="00DD6956"/>
    <w:rsid w:val="00DE487A"/>
    <w:rsid w:val="00DE5E5A"/>
    <w:rsid w:val="00DE740D"/>
    <w:rsid w:val="00DF20B9"/>
    <w:rsid w:val="00DF2CC3"/>
    <w:rsid w:val="00DF672C"/>
    <w:rsid w:val="00E06170"/>
    <w:rsid w:val="00E14426"/>
    <w:rsid w:val="00E16298"/>
    <w:rsid w:val="00E16CE8"/>
    <w:rsid w:val="00E17425"/>
    <w:rsid w:val="00E1765D"/>
    <w:rsid w:val="00E2060C"/>
    <w:rsid w:val="00E23AEA"/>
    <w:rsid w:val="00E26040"/>
    <w:rsid w:val="00E31137"/>
    <w:rsid w:val="00E35A23"/>
    <w:rsid w:val="00E4184F"/>
    <w:rsid w:val="00E41C58"/>
    <w:rsid w:val="00E4305B"/>
    <w:rsid w:val="00E43A01"/>
    <w:rsid w:val="00E43DF7"/>
    <w:rsid w:val="00E537BC"/>
    <w:rsid w:val="00E5674E"/>
    <w:rsid w:val="00E56B5C"/>
    <w:rsid w:val="00E62781"/>
    <w:rsid w:val="00E638C4"/>
    <w:rsid w:val="00E661A9"/>
    <w:rsid w:val="00E73528"/>
    <w:rsid w:val="00E74394"/>
    <w:rsid w:val="00E754C3"/>
    <w:rsid w:val="00E7780F"/>
    <w:rsid w:val="00E83C49"/>
    <w:rsid w:val="00E85E09"/>
    <w:rsid w:val="00E85F10"/>
    <w:rsid w:val="00E86177"/>
    <w:rsid w:val="00E86402"/>
    <w:rsid w:val="00E97F4B"/>
    <w:rsid w:val="00EA0791"/>
    <w:rsid w:val="00EA1F0D"/>
    <w:rsid w:val="00EA7900"/>
    <w:rsid w:val="00EB04F1"/>
    <w:rsid w:val="00EB062A"/>
    <w:rsid w:val="00EB13AA"/>
    <w:rsid w:val="00EB27B1"/>
    <w:rsid w:val="00EB2CBD"/>
    <w:rsid w:val="00EC08C3"/>
    <w:rsid w:val="00ED0677"/>
    <w:rsid w:val="00ED61F6"/>
    <w:rsid w:val="00EE2AE7"/>
    <w:rsid w:val="00EE3B04"/>
    <w:rsid w:val="00EE4FDB"/>
    <w:rsid w:val="00EE642B"/>
    <w:rsid w:val="00EF135F"/>
    <w:rsid w:val="00EF34D6"/>
    <w:rsid w:val="00EF6415"/>
    <w:rsid w:val="00EF731C"/>
    <w:rsid w:val="00F055D4"/>
    <w:rsid w:val="00F10D2D"/>
    <w:rsid w:val="00F11972"/>
    <w:rsid w:val="00F12FAD"/>
    <w:rsid w:val="00F14869"/>
    <w:rsid w:val="00F1745A"/>
    <w:rsid w:val="00F228BD"/>
    <w:rsid w:val="00F2302E"/>
    <w:rsid w:val="00F2421B"/>
    <w:rsid w:val="00F27535"/>
    <w:rsid w:val="00F30640"/>
    <w:rsid w:val="00F30E9B"/>
    <w:rsid w:val="00F328D7"/>
    <w:rsid w:val="00F413EB"/>
    <w:rsid w:val="00F41B62"/>
    <w:rsid w:val="00F43B0E"/>
    <w:rsid w:val="00F43E8C"/>
    <w:rsid w:val="00F456E8"/>
    <w:rsid w:val="00F4741A"/>
    <w:rsid w:val="00F52C84"/>
    <w:rsid w:val="00F548B7"/>
    <w:rsid w:val="00F553DB"/>
    <w:rsid w:val="00F555E2"/>
    <w:rsid w:val="00F56930"/>
    <w:rsid w:val="00F57056"/>
    <w:rsid w:val="00F57F18"/>
    <w:rsid w:val="00F67929"/>
    <w:rsid w:val="00F706C6"/>
    <w:rsid w:val="00F74522"/>
    <w:rsid w:val="00F75CC3"/>
    <w:rsid w:val="00F828DE"/>
    <w:rsid w:val="00F82E54"/>
    <w:rsid w:val="00F919FB"/>
    <w:rsid w:val="00F9241E"/>
    <w:rsid w:val="00FA13A9"/>
    <w:rsid w:val="00FA7767"/>
    <w:rsid w:val="00FA7BC6"/>
    <w:rsid w:val="00FB171B"/>
    <w:rsid w:val="00FB4167"/>
    <w:rsid w:val="00FB583B"/>
    <w:rsid w:val="00FB5BF3"/>
    <w:rsid w:val="00FB6B36"/>
    <w:rsid w:val="00FC0C32"/>
    <w:rsid w:val="00FC239F"/>
    <w:rsid w:val="00FC35C0"/>
    <w:rsid w:val="00FC4906"/>
    <w:rsid w:val="00FC4EC4"/>
    <w:rsid w:val="00FC712F"/>
    <w:rsid w:val="00FD40BC"/>
    <w:rsid w:val="00FD4864"/>
    <w:rsid w:val="00FD7613"/>
    <w:rsid w:val="00FE0FC9"/>
    <w:rsid w:val="00FE396A"/>
    <w:rsid w:val="00FE61A9"/>
    <w:rsid w:val="00FE78D5"/>
    <w:rsid w:val="00FF11E1"/>
    <w:rsid w:val="00FF2A4E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C13D"/>
  <w15:chartTrackingRefBased/>
  <w15:docId w15:val="{3D17E453-4CA8-47F1-9BC8-1EBBB12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5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53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EFE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unhideWhenUsed/>
    <w:rsid w:val="005E3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1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315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3159"/>
    <w:rPr>
      <w:rFonts w:ascii="Times New Roman" w:eastAsia="Times New Roman" w:hAnsi="Times New Roman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3159"/>
    <w:rPr>
      <w:b/>
      <w:bCs/>
      <w:sz w:val="20"/>
      <w:szCs w:val="20"/>
    </w:rPr>
  </w:style>
  <w:style w:type="paragraph" w:styleId="NoSpacing">
    <w:name w:val="No Spacing"/>
    <w:uiPriority w:val="1"/>
    <w:qFormat/>
    <w:rsid w:val="00F27535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2753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275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59E1"/>
    <w:pPr>
      <w:ind w:left="720"/>
    </w:pPr>
  </w:style>
  <w:style w:type="paragraph" w:styleId="NormalWeb">
    <w:name w:val="Normal (Web)"/>
    <w:basedOn w:val="Normal"/>
    <w:uiPriority w:val="99"/>
    <w:unhideWhenUsed/>
    <w:rsid w:val="00F10D2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35A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099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099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99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09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ARIA\REALBULLAND\2024\MSFO_31_03_2024\&#1055;&#1086;&#1084;&#1086;&#1097;&#1085;&#1080;%20&#1089;&#1087;&#1088;&#1072;&#1074;&#1082;&#1080;%20&#1052;&#1057;&#1060;&#1054;%2031.03.2024\&#1056;&#1072;&#1079;&#1087;&#1088;&#1077;&#1076;&#1077;&#1083;&#1077;&#1085;&#1080;&#1077;%20&#1087;&#1086;%20&#1082;&#1072;&#1090;&#1077;&#1075;&#1086;&#1088;&#1080;&#1080;%2031.03.2024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ARIA\REALBULLAND\2023\MSFO_30_09_2023\&#1055;&#1086;&#1084;&#1086;&#1097;&#1085;&#1080;%20&#1089;&#1087;&#1088;&#1072;&#1074;&#1082;&#1080;%20&#1052;&#1057;&#1060;&#1054;%2030.09.2023\&#1056;&#1072;&#1079;&#1087;&#1088;&#1077;&#1076;&#1077;&#1083;&#1077;&#1085;&#1080;&#1077;%20&#1087;&#1086;%20&#1082;&#1072;&#1090;&#1077;&#1075;&#1086;&#1088;&#1080;&#1080;%2030.09.2023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ARIA\REALBULLAND\2023\MSFO_30_09_2023\&#1055;&#1086;&#1084;&#1086;&#1097;&#1085;&#1080;%20&#1089;&#1087;&#1088;&#1072;&#1074;&#1082;&#1080;%20&#1052;&#1057;&#1060;&#1054;%2030.09.2023\&#1056;&#1072;&#1079;&#1087;&#1088;&#1077;&#1076;&#1077;&#1083;&#1077;&#1085;&#1080;&#1077;%20&#1079;&#1077;&#1084;.%20&#1079;&#1077;&#1084;&#1080;%20&#1087;&#1086;%20&#1086;&#1073;&#1097;&#1080;&#1085;&#1080;%20&#1082;&#1072;&#1088;&#1090;&#1080;&#1085;&#1082;&#1072;_30.09.2023_NEW%201,.xls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743472044433508"/>
          <c:y val="4.2553191489361701E-2"/>
          <c:w val="0.83493141906836466"/>
          <c:h val="0.7475020941531244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Sheet1!$A$5:$A$13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Sheet1!$B$5:$B$13</c:f>
              <c:numCache>
                <c:formatCode>0.000</c:formatCode>
                <c:ptCount val="9"/>
                <c:pt idx="1">
                  <c:v>7.6989999999999998</c:v>
                </c:pt>
                <c:pt idx="2">
                  <c:v>867.24725000000012</c:v>
                </c:pt>
                <c:pt idx="3">
                  <c:v>1127.2920000000006</c:v>
                </c:pt>
                <c:pt idx="4">
                  <c:v>446.14675000000011</c:v>
                </c:pt>
                <c:pt idx="5">
                  <c:v>586.92300000000012</c:v>
                </c:pt>
                <c:pt idx="6">
                  <c:v>244.70199999999994</c:v>
                </c:pt>
                <c:pt idx="7">
                  <c:v>305.72199999999998</c:v>
                </c:pt>
                <c:pt idx="8">
                  <c:v>135.61099999999999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06-4BEC-89A8-0903AFA9F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460525504"/>
        <c:axId val="1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chemeClr val="accent5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Sheet1!$A$5:$A$13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Sheet1!$C$5:$C$13</c:f>
              <c:numCache>
                <c:formatCode>General</c:formatCode>
                <c:ptCount val="9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06-4BEC-89A8-0903AFA9F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525504"/>
        <c:axId val="1"/>
      </c:lineChart>
      <c:catAx>
        <c:axId val="460525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bg-BG"/>
                  <a:t>категория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bg-BG"/>
                  <a:t>площ дка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.0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0525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743472044433508"/>
          <c:y val="4.2553191489361701E-2"/>
          <c:w val="0.83493141906836466"/>
          <c:h val="0.7475020941531244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Sheet1!$A$5:$A$13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Sheet1!$B$5:$B$13</c:f>
              <c:numCache>
                <c:formatCode>0.000</c:formatCode>
                <c:ptCount val="9"/>
                <c:pt idx="1">
                  <c:v>7.6989999999999998</c:v>
                </c:pt>
                <c:pt idx="2">
                  <c:v>813.87300000000027</c:v>
                </c:pt>
                <c:pt idx="3">
                  <c:v>1123.9920000000006</c:v>
                </c:pt>
                <c:pt idx="4">
                  <c:v>445.97200000000004</c:v>
                </c:pt>
                <c:pt idx="5">
                  <c:v>586.923</c:v>
                </c:pt>
                <c:pt idx="6">
                  <c:v>244.70199999999997</c:v>
                </c:pt>
                <c:pt idx="7">
                  <c:v>275.60599999999999</c:v>
                </c:pt>
                <c:pt idx="8">
                  <c:v>118.91200000000001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63-4C54-866F-8FD3501BD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767266064"/>
        <c:axId val="1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chemeClr val="accent5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Sheet1!$A$5:$A$13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Sheet1!$C$5:$C$13</c:f>
              <c:numCache>
                <c:formatCode>General</c:formatCode>
                <c:ptCount val="9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63-4C54-866F-8FD3501BD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7266064"/>
        <c:axId val="1"/>
      </c:lineChart>
      <c:catAx>
        <c:axId val="767266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bg-BG"/>
                  <a:t>категория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bg-BG"/>
                  <a:t>площ дка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.0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7266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8573-4EB1-A67A-320FB4DC58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73-4EB1-A67A-320FB4DC58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573-4EB1-A67A-320FB4DC58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73-4EB1-A67A-320FB4DC58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8573-4EB1-A67A-320FB4DC58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73-4EB1-A67A-320FB4DC58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8573-4EB1-A67A-320FB4DC58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573-4EB1-A67A-320FB4DC581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8573-4EB1-A67A-320FB4DC581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573-4EB1-A67A-320FB4DC581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8573-4EB1-A67A-320FB4DC581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573-4EB1-A67A-320FB4DC5813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8573-4EB1-A67A-320FB4DC5813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D-8573-4EB1-A67A-320FB4DC5813}"/>
              </c:ext>
            </c:extLst>
          </c:dPt>
          <c:dLbls>
            <c:dLbl>
              <c:idx val="1"/>
              <c:layout>
                <c:manualLayout>
                  <c:x val="3.2897919690372451E-2"/>
                  <c:y val="0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73-4EB1-A67A-320FB4DC5813}"/>
                </c:ext>
              </c:extLst>
            </c:dLbl>
            <c:dLbl>
              <c:idx val="2"/>
              <c:layout>
                <c:manualLayout>
                  <c:x val="8.3212385099177485E-2"/>
                  <c:y val="-5.7941009122111486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73-4EB1-A67A-320FB4DC5813}"/>
                </c:ext>
              </c:extLst>
            </c:dLbl>
            <c:dLbl>
              <c:idx val="3"/>
              <c:layout>
                <c:manualLayout>
                  <c:x val="0.17416545718432511"/>
                  <c:y val="3.108003108003108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73-4EB1-A67A-320FB4DC5813}"/>
                </c:ext>
              </c:extLst>
            </c:dLbl>
            <c:dLbl>
              <c:idx val="4"/>
              <c:layout>
                <c:manualLayout>
                  <c:x val="0.13369514454257575"/>
                  <c:y val="0.1367521367521367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73-4EB1-A67A-320FB4DC5813}"/>
                </c:ext>
              </c:extLst>
            </c:dLbl>
            <c:dLbl>
              <c:idx val="8"/>
              <c:layout>
                <c:manualLayout>
                  <c:x val="-6.6154354468067764E-2"/>
                  <c:y val="7.459207459207460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73-4EB1-A67A-320FB4DC5813}"/>
                </c:ext>
              </c:extLst>
            </c:dLbl>
            <c:dLbl>
              <c:idx val="9"/>
              <c:layout>
                <c:manualLayout>
                  <c:x val="-7.5342465753424695E-2"/>
                  <c:y val="-3.7037047838159184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73-4EB1-A67A-320FB4DC5813}"/>
                </c:ext>
              </c:extLst>
            </c:dLbl>
            <c:dLbl>
              <c:idx val="10"/>
              <c:layout>
                <c:manualLayout>
                  <c:x val="-3.489929869071156E-2"/>
                  <c:y val="0.2098499739612904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73-4EB1-A67A-320FB4DC5813}"/>
                </c:ext>
              </c:extLst>
            </c:dLbl>
            <c:dLbl>
              <c:idx val="11"/>
              <c:layout>
                <c:manualLayout>
                  <c:x val="-8.7082728592162553E-2"/>
                  <c:y val="9.3240116058248401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73-4EB1-A67A-320FB4DC581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Sheet1!$A$5:$A$18</c:f>
              <c:strCache>
                <c:ptCount val="14"/>
                <c:pt idx="0">
                  <c:v>Братя Даскалови</c:v>
                </c:pt>
                <c:pt idx="1">
                  <c:v>Бургас</c:v>
                </c:pt>
                <c:pt idx="2">
                  <c:v>Долни чифлик</c:v>
                </c:pt>
                <c:pt idx="3">
                  <c:v>Мъглиж</c:v>
                </c:pt>
                <c:pt idx="4">
                  <c:v>Николаево</c:v>
                </c:pt>
                <c:pt idx="5">
                  <c:v>Стралджа</c:v>
                </c:pt>
                <c:pt idx="6">
                  <c:v>Тунджа</c:v>
                </c:pt>
                <c:pt idx="7">
                  <c:v>Болярово</c:v>
                </c:pt>
                <c:pt idx="8">
                  <c:v>Нова Загора</c:v>
                </c:pt>
                <c:pt idx="9">
                  <c:v>Севлиево</c:v>
                </c:pt>
                <c:pt idx="10">
                  <c:v>Сливен</c:v>
                </c:pt>
                <c:pt idx="11">
                  <c:v>Сунгурларе</c:v>
                </c:pt>
                <c:pt idx="12">
                  <c:v>Чирпан</c:v>
                </c:pt>
                <c:pt idx="13">
                  <c:v>Елхово</c:v>
                </c:pt>
              </c:strCache>
            </c:strRef>
          </c:cat>
          <c:val>
            <c:numRef>
              <c:f>Sheet1!$B$5:$B$18</c:f>
              <c:numCache>
                <c:formatCode>0.000</c:formatCode>
                <c:ptCount val="14"/>
                <c:pt idx="0">
                  <c:v>23</c:v>
                </c:pt>
                <c:pt idx="1">
                  <c:v>29</c:v>
                </c:pt>
                <c:pt idx="2">
                  <c:v>52.396999999999991</c:v>
                </c:pt>
                <c:pt idx="3">
                  <c:v>44.006</c:v>
                </c:pt>
                <c:pt idx="4">
                  <c:v>87.733000000000004</c:v>
                </c:pt>
                <c:pt idx="5">
                  <c:v>1071.3170000000005</c:v>
                </c:pt>
                <c:pt idx="6">
                  <c:v>677.63000000000034</c:v>
                </c:pt>
                <c:pt idx="7" formatCode="General">
                  <c:v>1122.3429999999998</c:v>
                </c:pt>
                <c:pt idx="8" formatCode="General">
                  <c:v>49.303000000000011</c:v>
                </c:pt>
                <c:pt idx="9">
                  <c:v>40.192999999999998</c:v>
                </c:pt>
                <c:pt idx="10">
                  <c:v>178.88599999999994</c:v>
                </c:pt>
                <c:pt idx="11">
                  <c:v>20.25</c:v>
                </c:pt>
                <c:pt idx="12">
                  <c:v>11.423</c:v>
                </c:pt>
                <c:pt idx="13">
                  <c:v>431.59800000000001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573-4EB1-A67A-320FB4DC581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573-4EB1-A67A-320FB4DC58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8573-4EB1-A67A-320FB4DC58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573-4EB1-A67A-320FB4DC58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8573-4EB1-A67A-320FB4DC58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573-4EB1-A67A-320FB4DC58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8573-4EB1-A67A-320FB4DC58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573-4EB1-A67A-320FB4DC58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8573-4EB1-A67A-320FB4DC581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573-4EB1-A67A-320FB4DC581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8573-4EB1-A67A-320FB4DC581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573-4EB1-A67A-320FB4DC581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4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8573-4EB1-A67A-320FB4DC5813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B-8573-4EB1-A67A-320FB4DC5813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1C-8573-4EB1-A67A-320FB4DC5813}"/>
              </c:ext>
            </c:extLst>
          </c:dPt>
          <c:dLbls>
            <c:spPr>
              <a:noFill/>
              <a:ln w="253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Sheet1!$A$5:$A$18</c:f>
              <c:strCache>
                <c:ptCount val="14"/>
                <c:pt idx="0">
                  <c:v>Братя Даскалови</c:v>
                </c:pt>
                <c:pt idx="1">
                  <c:v>Бургас</c:v>
                </c:pt>
                <c:pt idx="2">
                  <c:v>Долни чифлик</c:v>
                </c:pt>
                <c:pt idx="3">
                  <c:v>Мъглиж</c:v>
                </c:pt>
                <c:pt idx="4">
                  <c:v>Николаево</c:v>
                </c:pt>
                <c:pt idx="5">
                  <c:v>Стралджа</c:v>
                </c:pt>
                <c:pt idx="6">
                  <c:v>Тунджа</c:v>
                </c:pt>
                <c:pt idx="7">
                  <c:v>Болярово</c:v>
                </c:pt>
                <c:pt idx="8">
                  <c:v>Нова Загора</c:v>
                </c:pt>
                <c:pt idx="9">
                  <c:v>Севлиево</c:v>
                </c:pt>
                <c:pt idx="10">
                  <c:v>Сливен</c:v>
                </c:pt>
                <c:pt idx="11">
                  <c:v>Сунгурларе</c:v>
                </c:pt>
                <c:pt idx="12">
                  <c:v>Чирпан</c:v>
                </c:pt>
                <c:pt idx="13">
                  <c:v>Елхово</c:v>
                </c:pt>
              </c:strCache>
            </c:strRef>
          </c:cat>
          <c:val>
            <c:numRef>
              <c:f>Sheet1!$C$5:$C$18</c:f>
              <c:numCache>
                <c:formatCode>0.00</c:formatCode>
                <c:ptCount val="14"/>
                <c:pt idx="0">
                  <c:v>0.59910202420945224</c:v>
                </c:pt>
                <c:pt idx="1">
                  <c:v>0.75538950878583111</c:v>
                </c:pt>
                <c:pt idx="2">
                  <c:v>1.3648325548914204</c:v>
                </c:pt>
                <c:pt idx="3">
                  <c:v>1.1462645077113547</c:v>
                </c:pt>
                <c:pt idx="4">
                  <c:v>2.2852616473899081</c:v>
                </c:pt>
                <c:pt idx="5">
                  <c:v>27.905573185652088</c:v>
                </c:pt>
                <c:pt idx="6">
                  <c:v>17.650848028915274</c:v>
                </c:pt>
                <c:pt idx="7">
                  <c:v>29.234694050317795</c:v>
                </c:pt>
                <c:pt idx="8">
                  <c:v>1.2842403086782015</c:v>
                </c:pt>
                <c:pt idx="9">
                  <c:v>1.046943811263066</c:v>
                </c:pt>
                <c:pt idx="10">
                  <c:v>4.65960716098835</c:v>
                </c:pt>
                <c:pt idx="11">
                  <c:v>0.52747026044527867</c:v>
                </c:pt>
                <c:pt idx="12">
                  <c:v>0.29754532271932926</c:v>
                </c:pt>
                <c:pt idx="13">
                  <c:v>11.24222762803266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8573-4EB1-A67A-320FB4DC5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4">
          <a:noFill/>
        </a:ln>
      </c:spPr>
    </c:plotArea>
    <c:legend>
      <c:legendPos val="b"/>
      <c:overlay val="0"/>
      <c:spPr>
        <a:noFill/>
        <a:ln w="25394">
          <a:noFill/>
        </a:ln>
      </c:spPr>
      <c:txPr>
        <a:bodyPr/>
        <a:lstStyle/>
        <a:p>
          <a:pPr>
            <a:defRPr sz="5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86-4CEA-8392-B381B57938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86-4CEA-8392-B381B57938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86-4CEA-8392-B381B57938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86-4CEA-8392-B381B57938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286-4CEA-8392-B381B57938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286-4CEA-8392-B381B579386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286-4CEA-8392-B381B579386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286-4CEA-8392-B381B579386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286-4CEA-8392-B381B579386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286-4CEA-8392-B381B579386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286-4CEA-8392-B381B579386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286-4CEA-8392-B381B579386E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8-1286-4CEA-8392-B381B579386E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19-1286-4CEA-8392-B381B579386E}"/>
              </c:ext>
            </c:extLst>
          </c:dPt>
          <c:dLbls>
            <c:dLbl>
              <c:idx val="1"/>
              <c:layout>
                <c:manualLayout>
                  <c:x val="3.2897919690372451E-2"/>
                  <c:y val="0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86-4CEA-8392-B381B579386E}"/>
                </c:ext>
              </c:extLst>
            </c:dLbl>
            <c:dLbl>
              <c:idx val="2"/>
              <c:layout>
                <c:manualLayout>
                  <c:x val="8.3212385099177485E-2"/>
                  <c:y val="-5.7941009122111486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86-4CEA-8392-B381B579386E}"/>
                </c:ext>
              </c:extLst>
            </c:dLbl>
            <c:dLbl>
              <c:idx val="3"/>
              <c:layout>
                <c:manualLayout>
                  <c:x val="0.17416545718432511"/>
                  <c:y val="3.108003108003108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86-4CEA-8392-B381B579386E}"/>
                </c:ext>
              </c:extLst>
            </c:dLbl>
            <c:dLbl>
              <c:idx val="4"/>
              <c:layout>
                <c:manualLayout>
                  <c:x val="0.13369514454257575"/>
                  <c:y val="0.1367521367521367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86-4CEA-8392-B381B579386E}"/>
                </c:ext>
              </c:extLst>
            </c:dLbl>
            <c:dLbl>
              <c:idx val="8"/>
              <c:layout>
                <c:manualLayout>
                  <c:x val="-6.6154354468067764E-2"/>
                  <c:y val="7.459207459207460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286-4CEA-8392-B381B579386E}"/>
                </c:ext>
              </c:extLst>
            </c:dLbl>
            <c:dLbl>
              <c:idx val="9"/>
              <c:layout>
                <c:manualLayout>
                  <c:x val="-7.5342465753424695E-2"/>
                  <c:y val="-3.7037047838159184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286-4CEA-8392-B381B579386E}"/>
                </c:ext>
              </c:extLst>
            </c:dLbl>
            <c:dLbl>
              <c:idx val="10"/>
              <c:layout>
                <c:manualLayout>
                  <c:x val="-3.489929869071156E-2"/>
                  <c:y val="0.2098499739612904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286-4CEA-8392-B381B579386E}"/>
                </c:ext>
              </c:extLst>
            </c:dLbl>
            <c:dLbl>
              <c:idx val="11"/>
              <c:layout>
                <c:manualLayout>
                  <c:x val="-8.7082728592162553E-2"/>
                  <c:y val="9.3240116058248401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286-4CEA-8392-B381B57938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Sheet1!$A$5:$A$18</c:f>
              <c:strCache>
                <c:ptCount val="14"/>
                <c:pt idx="0">
                  <c:v>Братя Даскалови</c:v>
                </c:pt>
                <c:pt idx="1">
                  <c:v>Бургас</c:v>
                </c:pt>
                <c:pt idx="2">
                  <c:v>Долни чифлик</c:v>
                </c:pt>
                <c:pt idx="3">
                  <c:v>Мъглиж</c:v>
                </c:pt>
                <c:pt idx="4">
                  <c:v>Николаево</c:v>
                </c:pt>
                <c:pt idx="5">
                  <c:v>Стралджа</c:v>
                </c:pt>
                <c:pt idx="6">
                  <c:v>Тунджа</c:v>
                </c:pt>
                <c:pt idx="7">
                  <c:v>Болярово</c:v>
                </c:pt>
                <c:pt idx="8">
                  <c:v>Нова Загора</c:v>
                </c:pt>
                <c:pt idx="9">
                  <c:v>Севлиево</c:v>
                </c:pt>
                <c:pt idx="10">
                  <c:v>Сливен</c:v>
                </c:pt>
                <c:pt idx="11">
                  <c:v>Сунгурларе</c:v>
                </c:pt>
                <c:pt idx="12">
                  <c:v>Чирпан</c:v>
                </c:pt>
                <c:pt idx="13">
                  <c:v>Елхово</c:v>
                </c:pt>
              </c:strCache>
            </c:strRef>
          </c:cat>
          <c:val>
            <c:numRef>
              <c:f>Sheet1!$B$5:$B$18</c:f>
              <c:numCache>
                <c:formatCode>0.000</c:formatCode>
                <c:ptCount val="14"/>
                <c:pt idx="0">
                  <c:v>23</c:v>
                </c:pt>
                <c:pt idx="1">
                  <c:v>29</c:v>
                </c:pt>
                <c:pt idx="2">
                  <c:v>52.396999999999991</c:v>
                </c:pt>
                <c:pt idx="3">
                  <c:v>44.006</c:v>
                </c:pt>
                <c:pt idx="4">
                  <c:v>87.733000000000004</c:v>
                </c:pt>
                <c:pt idx="5">
                  <c:v>1071.3170000000005</c:v>
                </c:pt>
                <c:pt idx="6">
                  <c:v>677.63000000000034</c:v>
                </c:pt>
                <c:pt idx="7">
                  <c:v>1025.3319999999997</c:v>
                </c:pt>
                <c:pt idx="8">
                  <c:v>42.650000000000006</c:v>
                </c:pt>
                <c:pt idx="9">
                  <c:v>40.192999999999998</c:v>
                </c:pt>
                <c:pt idx="10">
                  <c:v>178.88599999999994</c:v>
                </c:pt>
                <c:pt idx="11">
                  <c:v>20.25</c:v>
                </c:pt>
                <c:pt idx="12">
                  <c:v>11.423</c:v>
                </c:pt>
                <c:pt idx="13">
                  <c:v>431.59800000000001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1286-4CEA-8392-B381B579386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1286-4CEA-8392-B381B57938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1286-4CEA-8392-B381B57938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1286-4CEA-8392-B381B57938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1286-4CEA-8392-B381B57938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1286-4CEA-8392-B381B57938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1286-4CEA-8392-B381B579386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1286-4CEA-8392-B381B579386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1286-4CEA-8392-B381B579386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1286-4CEA-8392-B381B579386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1286-4CEA-8392-B381B579386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1286-4CEA-8392-B381B579386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1286-4CEA-8392-B381B579386E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33-1286-4CEA-8392-B381B579386E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34-1286-4CEA-8392-B381B579386E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Sheet1!$A$5:$A$18</c:f>
              <c:strCache>
                <c:ptCount val="14"/>
                <c:pt idx="0">
                  <c:v>Братя Даскалови</c:v>
                </c:pt>
                <c:pt idx="1">
                  <c:v>Бургас</c:v>
                </c:pt>
                <c:pt idx="2">
                  <c:v>Долни чифлик</c:v>
                </c:pt>
                <c:pt idx="3">
                  <c:v>Мъглиж</c:v>
                </c:pt>
                <c:pt idx="4">
                  <c:v>Николаево</c:v>
                </c:pt>
                <c:pt idx="5">
                  <c:v>Стралджа</c:v>
                </c:pt>
                <c:pt idx="6">
                  <c:v>Тунджа</c:v>
                </c:pt>
                <c:pt idx="7">
                  <c:v>Болярово</c:v>
                </c:pt>
                <c:pt idx="8">
                  <c:v>Нова Загора</c:v>
                </c:pt>
                <c:pt idx="9">
                  <c:v>Севлиево</c:v>
                </c:pt>
                <c:pt idx="10">
                  <c:v>Сливен</c:v>
                </c:pt>
                <c:pt idx="11">
                  <c:v>Сунгурларе</c:v>
                </c:pt>
                <c:pt idx="12">
                  <c:v>Чирпан</c:v>
                </c:pt>
                <c:pt idx="13">
                  <c:v>Елхово</c:v>
                </c:pt>
              </c:strCache>
            </c:strRef>
          </c:cat>
          <c:val>
            <c:numRef>
              <c:f>Sheet1!$C$5:$C$18</c:f>
              <c:numCache>
                <c:formatCode>0.00</c:formatCode>
                <c:ptCount val="14"/>
                <c:pt idx="0">
                  <c:v>0.61572810517706866</c:v>
                </c:pt>
                <c:pt idx="1">
                  <c:v>0.77635282826673868</c:v>
                </c:pt>
                <c:pt idx="2">
                  <c:v>1.402708935954907</c:v>
                </c:pt>
                <c:pt idx="3">
                  <c:v>1.1780752607140035</c:v>
                </c:pt>
                <c:pt idx="4">
                  <c:v>2.3486814718043378</c:v>
                </c:pt>
                <c:pt idx="5">
                  <c:v>28.67999941104269</c:v>
                </c:pt>
                <c:pt idx="6">
                  <c:v>18.140688517875532</c:v>
                </c:pt>
                <c:pt idx="7">
                  <c:v>27.448944762496257</c:v>
                </c:pt>
                <c:pt idx="8">
                  <c:v>1.1417740732957382</c:v>
                </c:pt>
                <c:pt idx="9">
                  <c:v>1.075998249190518</c:v>
                </c:pt>
                <c:pt idx="10">
                  <c:v>4.7889190357697853</c:v>
                </c:pt>
                <c:pt idx="11">
                  <c:v>0.54210844042763651</c:v>
                </c:pt>
                <c:pt idx="12">
                  <c:v>0.30580270197555021</c:v>
                </c:pt>
                <c:pt idx="13">
                  <c:v>11.554218206009239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5-1286-4CEA-8392-B381B57938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5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A1C5-DEAB-4375-8808-F74DF662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</dc:creator>
  <cp:keywords/>
  <cp:lastModifiedBy>Valentin Stoilov</cp:lastModifiedBy>
  <cp:revision>14</cp:revision>
  <dcterms:created xsi:type="dcterms:W3CDTF">2024-04-08T14:42:00Z</dcterms:created>
  <dcterms:modified xsi:type="dcterms:W3CDTF">2024-04-23T07:42:00Z</dcterms:modified>
</cp:coreProperties>
</file>