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E5E1" w14:textId="646F6376" w:rsidR="00AC6968" w:rsidRDefault="00A043F7">
      <w:pPr>
        <w:spacing w:after="0" w:line="240" w:lineRule="auto"/>
        <w:rPr>
          <w:rFonts w:ascii="Cambria" w:hAnsi="Cambria" w:cs="Times New Roman"/>
          <w:b/>
          <w:sz w:val="24"/>
          <w:szCs w:val="24"/>
        </w:rPr>
      </w:pPr>
      <w:r>
        <w:rPr>
          <w:rFonts w:ascii="Cambria" w:hAnsi="Cambria" w:cs="Times New Roman"/>
          <w:b/>
          <w:sz w:val="24"/>
          <w:szCs w:val="24"/>
          <w:lang w:val="bg-BG"/>
        </w:rPr>
        <w:t>ПОЯСНИТЕЛНИ ПРИЛОЖЕНИЯ КЪМ ФИНАНСОВ ОТЧЕТ</w:t>
      </w:r>
      <w:r>
        <w:rPr>
          <w:rFonts w:ascii="Cambria" w:hAnsi="Cambria" w:cs="Times New Roman"/>
          <w:b/>
          <w:sz w:val="24"/>
          <w:szCs w:val="24"/>
        </w:rPr>
        <w:t xml:space="preserve"> </w:t>
      </w:r>
      <w:r>
        <w:rPr>
          <w:rFonts w:ascii="Cambria" w:hAnsi="Cambria" w:cs="Times New Roman"/>
          <w:b/>
          <w:sz w:val="24"/>
          <w:szCs w:val="24"/>
          <w:lang w:val="bg-BG"/>
        </w:rPr>
        <w:t xml:space="preserve">към </w:t>
      </w:r>
      <w:r w:rsidR="00292ADA">
        <w:rPr>
          <w:rFonts w:ascii="Cambria" w:hAnsi="Cambria" w:cs="Times New Roman"/>
          <w:b/>
          <w:sz w:val="24"/>
          <w:szCs w:val="24"/>
          <w:lang w:val="bg-BG"/>
        </w:rPr>
        <w:t>30.06.2024</w:t>
      </w:r>
      <w:r>
        <w:rPr>
          <w:rFonts w:ascii="Cambria" w:hAnsi="Cambria" w:cs="Times New Roman"/>
          <w:b/>
          <w:sz w:val="24"/>
          <w:szCs w:val="24"/>
          <w:lang w:val="bg-BG"/>
        </w:rPr>
        <w:t xml:space="preserve"> г.</w:t>
      </w:r>
    </w:p>
    <w:p w14:paraId="4541E39F" w14:textId="77777777" w:rsidR="00AC6968" w:rsidRDefault="00AC6968">
      <w:pPr>
        <w:spacing w:after="0" w:line="240" w:lineRule="auto"/>
        <w:rPr>
          <w:rFonts w:ascii="Cambria" w:hAnsi="Cambria" w:cs="Times New Roman"/>
          <w:b/>
          <w:sz w:val="24"/>
          <w:szCs w:val="24"/>
        </w:rPr>
      </w:pPr>
    </w:p>
    <w:p w14:paraId="0BC62069" w14:textId="77777777" w:rsidR="00AC6968" w:rsidRDefault="00AC6968">
      <w:pPr>
        <w:spacing w:after="0" w:line="240" w:lineRule="auto"/>
        <w:rPr>
          <w:rFonts w:ascii="Cambria" w:hAnsi="Cambria" w:cs="Times New Roman"/>
          <w:b/>
          <w:sz w:val="20"/>
          <w:szCs w:val="20"/>
          <w:lang w:val="bg-BG"/>
        </w:rPr>
      </w:pPr>
    </w:p>
    <w:p w14:paraId="4AD600DC" w14:textId="77777777" w:rsidR="00AC6968" w:rsidRDefault="00A043F7">
      <w:pPr>
        <w:pStyle w:val="ListParagraph"/>
        <w:spacing w:after="0" w:line="240" w:lineRule="auto"/>
        <w:ind w:left="0"/>
        <w:rPr>
          <w:rFonts w:ascii="Cambria" w:hAnsi="Cambria" w:cs="Times New Roman"/>
          <w:b/>
          <w:sz w:val="20"/>
          <w:szCs w:val="20"/>
          <w:lang w:val="bg-BG"/>
        </w:rPr>
      </w:pPr>
      <w:r>
        <w:rPr>
          <w:rFonts w:ascii="Cambria" w:hAnsi="Cambria" w:cs="Times New Roman"/>
          <w:b/>
          <w:sz w:val="20"/>
          <w:szCs w:val="20"/>
          <w:lang w:val="bg-BG"/>
        </w:rPr>
        <w:t>ОБЩА КОРПОРАТИВНА ИНФОРМАЦИЯ</w:t>
      </w:r>
    </w:p>
    <w:p w14:paraId="0EEBD1EA" w14:textId="77777777" w:rsidR="00AC6968" w:rsidRDefault="00AC6968">
      <w:pPr>
        <w:spacing w:after="0" w:line="240" w:lineRule="auto"/>
        <w:rPr>
          <w:rFonts w:ascii="Cambria" w:hAnsi="Cambria" w:cs="Times New Roman"/>
          <w:b/>
          <w:sz w:val="20"/>
          <w:szCs w:val="20"/>
          <w:lang w:val="bg-BG"/>
        </w:rPr>
      </w:pPr>
    </w:p>
    <w:p w14:paraId="07E0B742" w14:textId="2D2C16EA" w:rsidR="00AC6968" w:rsidRDefault="00A043F7">
      <w:pPr>
        <w:spacing w:line="360" w:lineRule="auto"/>
        <w:jc w:val="both"/>
        <w:rPr>
          <w:rFonts w:ascii="Cambria" w:hAnsi="Cambria"/>
          <w:sz w:val="20"/>
          <w:szCs w:val="20"/>
          <w:u w:val="double"/>
          <w:lang w:val="bg-BG"/>
        </w:rPr>
      </w:pPr>
      <w:r>
        <w:rPr>
          <w:rFonts w:ascii="Cambria" w:hAnsi="Cambria"/>
          <w:sz w:val="20"/>
          <w:szCs w:val="20"/>
          <w:lang w:val="bg-BG"/>
        </w:rPr>
        <w:t>„ЕУРОТЕРРА БЪЛГАРИЯ” акционерно дружество, регистрирано с Решение № 1 по ф.д. 6219/2003 г.</w:t>
      </w:r>
      <w:r w:rsidR="0010717B">
        <w:rPr>
          <w:rFonts w:ascii="Cambria" w:hAnsi="Cambria"/>
          <w:sz w:val="20"/>
          <w:szCs w:val="20"/>
          <w:lang w:val="bg-BG"/>
        </w:rPr>
        <w:t xml:space="preserve"> </w:t>
      </w:r>
      <w:r>
        <w:rPr>
          <w:rFonts w:ascii="Cambria" w:hAnsi="Cambria"/>
          <w:sz w:val="20"/>
          <w:szCs w:val="20"/>
          <w:lang w:val="bg-BG"/>
        </w:rPr>
        <w:t xml:space="preserve">на СГС и в Търговския регистър с ЕИК 131104838. Седалището и адресът на управление на дружеството е гр. София 1000, бул. Витоша 1, ет. 6. </w:t>
      </w:r>
    </w:p>
    <w:p w14:paraId="52E309C3" w14:textId="77777777" w:rsidR="00AC6968" w:rsidRDefault="00A043F7">
      <w:pPr>
        <w:jc w:val="both"/>
        <w:rPr>
          <w:rFonts w:ascii="Cambria" w:hAnsi="Cambria"/>
          <w:sz w:val="20"/>
          <w:szCs w:val="20"/>
          <w:lang w:val="bg-BG"/>
        </w:rPr>
      </w:pPr>
      <w:r>
        <w:rPr>
          <w:rFonts w:ascii="Cambria" w:hAnsi="Cambria"/>
          <w:sz w:val="20"/>
          <w:szCs w:val="20"/>
          <w:lang w:val="bg-BG"/>
        </w:rPr>
        <w:tab/>
        <w:t>Предметът на дейност  е покупки, продажби, ипотеки, отдаване под наем и управление на недвижими имоти, сгради и сгради архитектурни паметници, осигуряване на брокерски и други консултантски услуги в областта на недвижимите имоти; строителство на сгради, жилищни комплекси, търговски и административни сгради, хотели, складови помещения, както и всякакви други сгради с каквото и да е предназначение; придобиване и строителство срещу обезщетение; осигуряване на услуги и инвестиции в областта на строителството, както и всякакви други услуги свързани с управлението и техническата поддръжка на недвижима собственост; покупка, прехвърляне на акции на български и чужди фирми, внос и износ, търговия, търговско представителство на физически и юридически лица от страната и чужбина, покупка на дялове от фирми с какъвто и да е предмет на дейност, както и всяка друга дейност незабранена от закона.</w:t>
      </w:r>
    </w:p>
    <w:p w14:paraId="6AFA4CD0"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„ЕУРОТЕРРА БЪЛГАРИЯ” АД</w:t>
      </w:r>
      <w:r>
        <w:rPr>
          <w:rFonts w:asciiTheme="majorHAnsi" w:hAnsiTheme="majorHAnsi"/>
          <w:bCs/>
          <w:sz w:val="20"/>
          <w:szCs w:val="20"/>
          <w:lang w:val="bg-BG"/>
        </w:rPr>
        <w:t xml:space="preserve"> планира  да запази сегашната си дейност чрез развитие на политиката на инвестиции в недвижими имоти, с потенциал за нарастване на тяхната стойност, както и инвестиции в имоти с възможност за отдаване под наем и реализиране на приходи от предоставените услуги. </w:t>
      </w:r>
    </w:p>
    <w:p w14:paraId="1F61B2A3"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Основен приоритет за Дружеството е разработването на рентабилни и перспективни инвестиционни проекти и повишаване ефективността на съществуващите инвестиционни стратегии</w:t>
      </w:r>
      <w:r>
        <w:rPr>
          <w:rFonts w:asciiTheme="majorHAnsi" w:hAnsiTheme="majorHAnsi"/>
          <w:bCs/>
          <w:sz w:val="20"/>
          <w:szCs w:val="20"/>
          <w:lang w:val="bg-BG"/>
        </w:rPr>
        <w:t>.</w:t>
      </w:r>
    </w:p>
    <w:p w14:paraId="020EE06D" w14:textId="76CF1CD0" w:rsidR="00AC6968" w:rsidRDefault="00A043F7">
      <w:pPr>
        <w:jc w:val="both"/>
        <w:rPr>
          <w:rFonts w:asciiTheme="majorHAnsi" w:hAnsiTheme="majorHAnsi"/>
          <w:sz w:val="20"/>
          <w:szCs w:val="20"/>
          <w:lang w:val="bg-BG"/>
        </w:rPr>
      </w:pPr>
      <w:r>
        <w:rPr>
          <w:rFonts w:asciiTheme="majorHAnsi" w:hAnsiTheme="majorHAnsi"/>
          <w:sz w:val="20"/>
          <w:szCs w:val="20"/>
          <w:lang w:val="bg-BG"/>
        </w:rPr>
        <w:tab/>
        <w:t>През периода 01.01.20</w:t>
      </w:r>
      <w:r w:rsidR="00AE4968">
        <w:rPr>
          <w:rFonts w:asciiTheme="majorHAnsi" w:hAnsiTheme="majorHAnsi"/>
          <w:sz w:val="20"/>
          <w:szCs w:val="20"/>
          <w:lang w:val="bg-BG"/>
        </w:rPr>
        <w:t>24</w:t>
      </w:r>
      <w:r>
        <w:rPr>
          <w:rFonts w:asciiTheme="majorHAnsi" w:hAnsiTheme="majorHAnsi"/>
          <w:sz w:val="20"/>
          <w:szCs w:val="20"/>
          <w:lang w:val="bg-BG"/>
        </w:rPr>
        <w:t xml:space="preserve"> г. – </w:t>
      </w:r>
      <w:r w:rsidR="00292ADA">
        <w:rPr>
          <w:rFonts w:asciiTheme="majorHAnsi" w:hAnsiTheme="majorHAnsi"/>
          <w:sz w:val="20"/>
          <w:szCs w:val="20"/>
          <w:lang w:val="bg-BG"/>
        </w:rPr>
        <w:t>30.06.2024</w:t>
      </w:r>
      <w:r>
        <w:rPr>
          <w:rFonts w:asciiTheme="majorHAnsi" w:hAnsiTheme="majorHAnsi"/>
          <w:sz w:val="20"/>
          <w:szCs w:val="20"/>
          <w:lang w:val="bg-BG"/>
        </w:rPr>
        <w:t xml:space="preserve"> г. няма промени  в търговската регистрация на дружеството.</w:t>
      </w:r>
    </w:p>
    <w:p w14:paraId="0FC45479" w14:textId="77777777" w:rsidR="00AC6968" w:rsidRDefault="00A043F7">
      <w:pPr>
        <w:jc w:val="both"/>
        <w:rPr>
          <w:rFonts w:asciiTheme="majorHAnsi" w:hAnsiTheme="majorHAnsi"/>
          <w:sz w:val="20"/>
          <w:szCs w:val="20"/>
          <w:lang w:val="bg-BG"/>
        </w:rPr>
      </w:pPr>
      <w:r>
        <w:rPr>
          <w:rFonts w:asciiTheme="majorHAnsi" w:hAnsiTheme="majorHAnsi"/>
          <w:color w:val="000000"/>
          <w:sz w:val="20"/>
          <w:szCs w:val="20"/>
          <w:lang w:val="bg-BG"/>
        </w:rPr>
        <w:t xml:space="preserve"> </w:t>
      </w:r>
      <w:r>
        <w:rPr>
          <w:rFonts w:asciiTheme="majorHAnsi" w:hAnsiTheme="majorHAnsi"/>
          <w:sz w:val="20"/>
          <w:szCs w:val="20"/>
          <w:lang w:val="bg-BG"/>
        </w:rPr>
        <w:t>На 13.11.2013 г. е проведено извънредно общо събрание на акционерите на „ЕУРОТЕРРА БЪЛГАРИЯ“ АД, на което е прието решение за намаляване на капитала от 18</w:t>
      </w:r>
      <w:r>
        <w:rPr>
          <w:rFonts w:asciiTheme="majorHAnsi" w:hAnsiTheme="majorHAnsi"/>
          <w:sz w:val="20"/>
          <w:szCs w:val="20"/>
        </w:rPr>
        <w:t> </w:t>
      </w:r>
      <w:r>
        <w:rPr>
          <w:rFonts w:asciiTheme="majorHAnsi" w:hAnsiTheme="majorHAnsi"/>
          <w:sz w:val="20"/>
          <w:szCs w:val="20"/>
          <w:lang w:val="bg-BG"/>
        </w:rPr>
        <w:t>200</w:t>
      </w:r>
      <w:r>
        <w:rPr>
          <w:rFonts w:asciiTheme="majorHAnsi" w:hAnsiTheme="majorHAnsi"/>
          <w:sz w:val="20"/>
          <w:szCs w:val="20"/>
        </w:rPr>
        <w:t> </w:t>
      </w:r>
      <w:r>
        <w:rPr>
          <w:rFonts w:asciiTheme="majorHAnsi" w:hAnsiTheme="majorHAnsi"/>
          <w:sz w:val="20"/>
          <w:szCs w:val="20"/>
          <w:lang w:val="bg-BG"/>
        </w:rPr>
        <w:t>000 лв. на 4</w:t>
      </w:r>
      <w:r>
        <w:rPr>
          <w:rFonts w:asciiTheme="majorHAnsi" w:hAnsiTheme="majorHAnsi"/>
          <w:sz w:val="20"/>
          <w:szCs w:val="20"/>
        </w:rPr>
        <w:t> </w:t>
      </w:r>
      <w:r>
        <w:rPr>
          <w:rFonts w:asciiTheme="majorHAnsi" w:hAnsiTheme="majorHAnsi"/>
          <w:sz w:val="20"/>
          <w:szCs w:val="20"/>
          <w:lang w:val="bg-BG"/>
        </w:rPr>
        <w:t>550</w:t>
      </w:r>
      <w:r>
        <w:rPr>
          <w:rFonts w:asciiTheme="majorHAnsi" w:hAnsiTheme="majorHAnsi"/>
          <w:sz w:val="20"/>
          <w:szCs w:val="20"/>
        </w:rPr>
        <w:t> </w:t>
      </w:r>
      <w:r>
        <w:rPr>
          <w:rFonts w:asciiTheme="majorHAnsi" w:hAnsiTheme="majorHAnsi"/>
          <w:sz w:val="20"/>
          <w:szCs w:val="20"/>
          <w:lang w:val="bg-BG"/>
        </w:rPr>
        <w:t>000 лв. по реда на чл. 200, т. 1 от ТЗ чрез намаляване на номиналната стойност на акциите от 4.00 лв. на 1.00 лв.</w:t>
      </w:r>
    </w:p>
    <w:p w14:paraId="79E95323" w14:textId="77777777" w:rsidR="00AC6968" w:rsidRDefault="00A043F7">
      <w:pPr>
        <w:jc w:val="both"/>
        <w:rPr>
          <w:rFonts w:asciiTheme="majorHAnsi" w:hAnsiTheme="majorHAnsi" w:cs="Arial"/>
          <w:color w:val="000000"/>
          <w:sz w:val="20"/>
          <w:szCs w:val="20"/>
          <w:lang w:val="bg-BG"/>
        </w:rPr>
      </w:pPr>
      <w:r>
        <w:rPr>
          <w:rFonts w:asciiTheme="majorHAnsi" w:hAnsiTheme="majorHAnsi"/>
          <w:sz w:val="20"/>
          <w:szCs w:val="20"/>
          <w:lang w:val="bg-BG"/>
        </w:rPr>
        <w:t xml:space="preserve">На 16.04.2014 г. в Търговския регистър към Агенция по вписванията по партидата на „ЕУРОТЕРРА БЪЛГАРИЯ” АД е вписано решението на ОСА от 13.11.2013 г. за намаляване на капитала на дружеството под № </w:t>
      </w:r>
      <w:r>
        <w:rPr>
          <w:rFonts w:asciiTheme="majorHAnsi" w:hAnsiTheme="majorHAnsi"/>
          <w:color w:val="000000"/>
          <w:sz w:val="20"/>
          <w:szCs w:val="20"/>
          <w:lang w:val="bg-BG"/>
        </w:rPr>
        <w:t>20140416163631.</w:t>
      </w:r>
      <w:r>
        <w:rPr>
          <w:rFonts w:asciiTheme="majorHAnsi" w:hAnsiTheme="majorHAnsi" w:cs="Arial"/>
          <w:color w:val="000000"/>
          <w:sz w:val="20"/>
          <w:szCs w:val="20"/>
          <w:lang w:val="bg-BG"/>
        </w:rPr>
        <w:t xml:space="preserve"> </w:t>
      </w:r>
    </w:p>
    <w:p w14:paraId="07276ADE" w14:textId="77777777" w:rsidR="00AC6968" w:rsidRDefault="00A043F7">
      <w:pPr>
        <w:jc w:val="both"/>
        <w:rPr>
          <w:rFonts w:asciiTheme="majorHAnsi" w:hAnsiTheme="majorHAnsi"/>
          <w:sz w:val="20"/>
          <w:szCs w:val="20"/>
          <w:lang w:val="bg-BG"/>
        </w:rPr>
      </w:pPr>
      <w:r>
        <w:rPr>
          <w:rFonts w:asciiTheme="majorHAnsi" w:hAnsiTheme="majorHAnsi"/>
          <w:sz w:val="20"/>
          <w:szCs w:val="20"/>
          <w:lang w:val="bg-BG"/>
        </w:rPr>
        <w:t>Акциите на дружеството са предложени за търговия на БФБ – АД.</w:t>
      </w:r>
    </w:p>
    <w:p w14:paraId="0E3B7196" w14:textId="77777777" w:rsidR="00AC6968" w:rsidRDefault="00A043F7">
      <w:pPr>
        <w:pStyle w:val="ListParagraph"/>
        <w:numPr>
          <w:ilvl w:val="1"/>
          <w:numId w:val="1"/>
        </w:numPr>
        <w:ind w:left="0" w:firstLine="0"/>
        <w:jc w:val="both"/>
        <w:rPr>
          <w:rFonts w:asciiTheme="majorHAnsi" w:hAnsiTheme="majorHAnsi"/>
          <w:sz w:val="20"/>
          <w:szCs w:val="20"/>
          <w:lang w:val="bg-BG"/>
        </w:rPr>
      </w:pPr>
      <w:r>
        <w:rPr>
          <w:rFonts w:asciiTheme="majorHAnsi" w:hAnsiTheme="majorHAnsi"/>
          <w:sz w:val="20"/>
          <w:szCs w:val="20"/>
          <w:lang w:val="bg-BG"/>
        </w:rPr>
        <w:t>Собственост и управление</w:t>
      </w:r>
    </w:p>
    <w:p w14:paraId="19813E0B" w14:textId="1BB5D967" w:rsidR="00AC6968" w:rsidRDefault="00A043F7">
      <w:pPr>
        <w:spacing w:line="360" w:lineRule="auto"/>
        <w:rPr>
          <w:rFonts w:asciiTheme="majorHAnsi" w:hAnsiTheme="majorHAnsi"/>
          <w:sz w:val="20"/>
          <w:szCs w:val="20"/>
          <w:u w:val="single"/>
          <w:lang w:val="bg-BG"/>
        </w:rPr>
      </w:pPr>
      <w:r>
        <w:rPr>
          <w:rFonts w:asciiTheme="majorHAnsi" w:hAnsiTheme="majorHAnsi"/>
          <w:sz w:val="20"/>
          <w:szCs w:val="20"/>
          <w:u w:val="single"/>
          <w:lang w:val="bg-BG"/>
        </w:rPr>
        <w:t xml:space="preserve">Акционери на дружеството към </w:t>
      </w:r>
      <w:r w:rsidR="00292ADA">
        <w:rPr>
          <w:rFonts w:asciiTheme="majorHAnsi" w:hAnsiTheme="majorHAnsi"/>
          <w:sz w:val="20"/>
          <w:szCs w:val="20"/>
          <w:u w:val="single"/>
          <w:lang w:val="bg-BG"/>
        </w:rPr>
        <w:t>30.06.2024</w:t>
      </w:r>
      <w:r>
        <w:rPr>
          <w:rFonts w:asciiTheme="majorHAnsi" w:hAnsiTheme="majorHAnsi"/>
          <w:sz w:val="20"/>
          <w:szCs w:val="20"/>
          <w:u w:val="single"/>
          <w:lang w:val="bg-BG"/>
        </w:rPr>
        <w:t xml:space="preserve"> г.</w:t>
      </w:r>
    </w:p>
    <w:tbl>
      <w:tblPr>
        <w:tblW w:w="6857" w:type="dxa"/>
        <w:tblInd w:w="817" w:type="dxa"/>
        <w:tblLayout w:type="fixed"/>
        <w:tblLook w:val="04A0" w:firstRow="1" w:lastRow="0" w:firstColumn="1" w:lastColumn="0" w:noHBand="0" w:noVBand="1"/>
      </w:tblPr>
      <w:tblGrid>
        <w:gridCol w:w="3416"/>
        <w:gridCol w:w="1900"/>
        <w:gridCol w:w="1541"/>
      </w:tblGrid>
      <w:tr w:rsidR="00AC6968" w14:paraId="1C51B94C" w14:textId="77777777">
        <w:trPr>
          <w:trHeight w:val="720"/>
        </w:trPr>
        <w:tc>
          <w:tcPr>
            <w:tcW w:w="3416" w:type="dxa"/>
            <w:shd w:val="clear" w:color="auto" w:fill="auto"/>
            <w:vAlign w:val="bottom"/>
          </w:tcPr>
          <w:p w14:paraId="0E35E877" w14:textId="77777777" w:rsidR="00AC6968" w:rsidRDefault="00A043F7">
            <w:pPr>
              <w:widowControl w:val="0"/>
              <w:spacing w:after="0" w:line="240" w:lineRule="auto"/>
              <w:rPr>
                <w:rFonts w:asciiTheme="majorHAnsi" w:eastAsia="Times New Roman" w:hAnsiTheme="majorHAnsi" w:cs="Calibri"/>
                <w:b/>
                <w:bCs/>
                <w:color w:val="000000"/>
                <w:sz w:val="20"/>
                <w:szCs w:val="20"/>
              </w:rPr>
            </w:pPr>
            <w:proofErr w:type="spellStart"/>
            <w:r>
              <w:rPr>
                <w:rFonts w:asciiTheme="majorHAnsi" w:eastAsia="Times New Roman" w:hAnsiTheme="majorHAnsi" w:cs="Calibri"/>
                <w:b/>
                <w:bCs/>
                <w:color w:val="000000"/>
                <w:sz w:val="20"/>
                <w:szCs w:val="20"/>
              </w:rPr>
              <w:t>Акционери</w:t>
            </w:r>
            <w:proofErr w:type="spellEnd"/>
          </w:p>
        </w:tc>
        <w:tc>
          <w:tcPr>
            <w:tcW w:w="1900" w:type="dxa"/>
            <w:shd w:val="clear" w:color="auto" w:fill="auto"/>
            <w:vAlign w:val="bottom"/>
          </w:tcPr>
          <w:p w14:paraId="4523E71C"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proofErr w:type="spellStart"/>
            <w:r>
              <w:rPr>
                <w:rFonts w:asciiTheme="majorHAnsi" w:eastAsia="Times New Roman" w:hAnsiTheme="majorHAnsi" w:cs="Calibri"/>
                <w:b/>
                <w:bCs/>
                <w:color w:val="000000"/>
                <w:sz w:val="20"/>
                <w:szCs w:val="20"/>
              </w:rPr>
              <w:t>Брой</w:t>
            </w:r>
            <w:proofErr w:type="spellEnd"/>
            <w:r>
              <w:rPr>
                <w:rFonts w:asciiTheme="majorHAnsi" w:eastAsia="Times New Roman" w:hAnsiTheme="majorHAnsi" w:cs="Calibri"/>
                <w:b/>
                <w:bCs/>
                <w:color w:val="000000"/>
                <w:sz w:val="20"/>
                <w:szCs w:val="20"/>
              </w:rPr>
              <w:t xml:space="preserve"> </w:t>
            </w:r>
            <w:proofErr w:type="spellStart"/>
            <w:r>
              <w:rPr>
                <w:rFonts w:asciiTheme="majorHAnsi" w:eastAsia="Times New Roman" w:hAnsiTheme="majorHAnsi" w:cs="Calibri"/>
                <w:b/>
                <w:bCs/>
                <w:color w:val="000000"/>
                <w:sz w:val="20"/>
                <w:szCs w:val="20"/>
              </w:rPr>
              <w:t>акции</w:t>
            </w:r>
            <w:proofErr w:type="spellEnd"/>
          </w:p>
        </w:tc>
        <w:tc>
          <w:tcPr>
            <w:tcW w:w="1541" w:type="dxa"/>
            <w:shd w:val="clear" w:color="auto" w:fill="auto"/>
            <w:vAlign w:val="bottom"/>
          </w:tcPr>
          <w:p w14:paraId="0D65FAC3"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proofErr w:type="spellStart"/>
            <w:r>
              <w:rPr>
                <w:rFonts w:asciiTheme="majorHAnsi" w:eastAsia="Times New Roman" w:hAnsiTheme="majorHAnsi" w:cs="Calibri"/>
                <w:b/>
                <w:bCs/>
                <w:color w:val="000000"/>
                <w:sz w:val="20"/>
                <w:szCs w:val="20"/>
              </w:rPr>
              <w:t>Процент</w:t>
            </w:r>
            <w:proofErr w:type="spellEnd"/>
            <w:r>
              <w:rPr>
                <w:rFonts w:asciiTheme="majorHAnsi" w:eastAsia="Times New Roman" w:hAnsiTheme="majorHAnsi" w:cs="Calibri"/>
                <w:b/>
                <w:bCs/>
                <w:color w:val="000000"/>
                <w:sz w:val="20"/>
                <w:szCs w:val="20"/>
              </w:rPr>
              <w:t xml:space="preserve"> </w:t>
            </w:r>
            <w:proofErr w:type="spellStart"/>
            <w:r>
              <w:rPr>
                <w:rFonts w:asciiTheme="majorHAnsi" w:eastAsia="Times New Roman" w:hAnsiTheme="majorHAnsi" w:cs="Calibri"/>
                <w:b/>
                <w:bCs/>
                <w:color w:val="000000"/>
                <w:sz w:val="20"/>
                <w:szCs w:val="20"/>
              </w:rPr>
              <w:t>от</w:t>
            </w:r>
            <w:proofErr w:type="spellEnd"/>
            <w:r>
              <w:rPr>
                <w:rFonts w:asciiTheme="majorHAnsi" w:eastAsia="Times New Roman" w:hAnsiTheme="majorHAnsi" w:cs="Calibri"/>
                <w:b/>
                <w:bCs/>
                <w:color w:val="000000"/>
                <w:sz w:val="20"/>
                <w:szCs w:val="20"/>
              </w:rPr>
              <w:t xml:space="preserve"> </w:t>
            </w:r>
            <w:proofErr w:type="spellStart"/>
            <w:r>
              <w:rPr>
                <w:rFonts w:asciiTheme="majorHAnsi" w:eastAsia="Times New Roman" w:hAnsiTheme="majorHAnsi" w:cs="Calibri"/>
                <w:b/>
                <w:bCs/>
                <w:color w:val="000000"/>
                <w:sz w:val="20"/>
                <w:szCs w:val="20"/>
              </w:rPr>
              <w:t>капитала</w:t>
            </w:r>
            <w:proofErr w:type="spellEnd"/>
          </w:p>
        </w:tc>
      </w:tr>
      <w:tr w:rsidR="00AC6968" w14:paraId="3D2712CD" w14:textId="77777777">
        <w:trPr>
          <w:trHeight w:val="300"/>
        </w:trPr>
        <w:tc>
          <w:tcPr>
            <w:tcW w:w="3416" w:type="dxa"/>
            <w:shd w:val="clear" w:color="auto" w:fill="auto"/>
            <w:vAlign w:val="bottom"/>
          </w:tcPr>
          <w:p w14:paraId="16171F44" w14:textId="77777777" w:rsidR="00AC6968" w:rsidRDefault="00A043F7">
            <w:pPr>
              <w:widowControl w:val="0"/>
              <w:spacing w:after="0" w:line="240" w:lineRule="auto"/>
              <w:rPr>
                <w:rFonts w:asciiTheme="majorHAnsi" w:eastAsia="Times New Roman" w:hAnsiTheme="majorHAnsi" w:cs="Calibri"/>
                <w:color w:val="000000"/>
                <w:sz w:val="20"/>
                <w:szCs w:val="20"/>
              </w:rPr>
            </w:pPr>
            <w:proofErr w:type="spellStart"/>
            <w:r>
              <w:rPr>
                <w:rFonts w:asciiTheme="majorHAnsi" w:eastAsia="Times New Roman" w:hAnsiTheme="majorHAnsi" w:cs="Calibri"/>
                <w:color w:val="000000"/>
                <w:sz w:val="20"/>
                <w:szCs w:val="20"/>
              </w:rPr>
              <w:t>Михаил</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Пантазис</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Терианос</w:t>
            </w:r>
            <w:proofErr w:type="spellEnd"/>
          </w:p>
        </w:tc>
        <w:tc>
          <w:tcPr>
            <w:tcW w:w="1900" w:type="dxa"/>
            <w:shd w:val="clear" w:color="auto" w:fill="auto"/>
            <w:vAlign w:val="bottom"/>
          </w:tcPr>
          <w:p w14:paraId="101723E3" w14:textId="4A3A479D" w:rsidR="00AC6968" w:rsidRPr="001F52C2" w:rsidRDefault="001F52C2">
            <w:pPr>
              <w:widowControl w:val="0"/>
              <w:spacing w:after="0" w:line="240" w:lineRule="auto"/>
              <w:jc w:val="center"/>
              <w:rPr>
                <w:rFonts w:asciiTheme="majorHAnsi" w:eastAsia="Times New Roman" w:hAnsiTheme="majorHAnsi" w:cs="Calibri"/>
                <w:color w:val="000000"/>
                <w:sz w:val="20"/>
                <w:szCs w:val="20"/>
                <w:lang w:val="bg-BG"/>
              </w:rPr>
            </w:pPr>
            <w:r>
              <w:rPr>
                <w:rFonts w:asciiTheme="majorHAnsi" w:eastAsia="Times New Roman" w:hAnsiTheme="majorHAnsi" w:cs="Calibri"/>
                <w:color w:val="000000"/>
                <w:sz w:val="20"/>
                <w:szCs w:val="20"/>
                <w:lang w:val="bg-BG"/>
              </w:rPr>
              <w:t>2074479</w:t>
            </w:r>
          </w:p>
        </w:tc>
        <w:tc>
          <w:tcPr>
            <w:tcW w:w="1541" w:type="dxa"/>
            <w:shd w:val="clear" w:color="auto" w:fill="auto"/>
            <w:vAlign w:val="bottom"/>
          </w:tcPr>
          <w:p w14:paraId="62C86712" w14:textId="3CB8A9DC" w:rsidR="00AC6968" w:rsidRDefault="001F52C2">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lang w:val="bg-BG"/>
              </w:rPr>
              <w:t>45</w:t>
            </w:r>
            <w:r w:rsidR="00A043F7">
              <w:rPr>
                <w:rFonts w:asciiTheme="majorHAnsi" w:eastAsia="Times New Roman" w:hAnsiTheme="majorHAnsi" w:cs="Calibri"/>
                <w:color w:val="000000"/>
                <w:sz w:val="20"/>
                <w:szCs w:val="20"/>
              </w:rPr>
              <w:t>.</w:t>
            </w:r>
            <w:r>
              <w:rPr>
                <w:rFonts w:asciiTheme="majorHAnsi" w:eastAsia="Times New Roman" w:hAnsiTheme="majorHAnsi" w:cs="Calibri"/>
                <w:color w:val="000000"/>
                <w:sz w:val="20"/>
                <w:szCs w:val="20"/>
                <w:lang w:val="bg-BG"/>
              </w:rPr>
              <w:t>59</w:t>
            </w:r>
            <w:r w:rsidR="00A043F7">
              <w:rPr>
                <w:rFonts w:asciiTheme="majorHAnsi" w:eastAsia="Times New Roman" w:hAnsiTheme="majorHAnsi" w:cs="Calibri"/>
                <w:color w:val="000000"/>
                <w:sz w:val="20"/>
                <w:szCs w:val="20"/>
              </w:rPr>
              <w:t>%</w:t>
            </w:r>
          </w:p>
        </w:tc>
      </w:tr>
      <w:tr w:rsidR="00AC6968" w14:paraId="694034F0" w14:textId="77777777">
        <w:trPr>
          <w:trHeight w:val="300"/>
        </w:trPr>
        <w:tc>
          <w:tcPr>
            <w:tcW w:w="3416" w:type="dxa"/>
            <w:shd w:val="clear" w:color="auto" w:fill="auto"/>
            <w:vAlign w:val="bottom"/>
          </w:tcPr>
          <w:p w14:paraId="1F092694" w14:textId="77777777" w:rsidR="00AC6968" w:rsidRDefault="00A043F7">
            <w:pPr>
              <w:widowControl w:val="0"/>
              <w:spacing w:after="0" w:line="240" w:lineRule="auto"/>
              <w:rPr>
                <w:rFonts w:asciiTheme="majorHAnsi" w:eastAsia="Times New Roman" w:hAnsiTheme="majorHAnsi" w:cs="Calibri"/>
                <w:color w:val="000000"/>
                <w:sz w:val="20"/>
                <w:szCs w:val="20"/>
              </w:rPr>
            </w:pPr>
            <w:proofErr w:type="spellStart"/>
            <w:r>
              <w:rPr>
                <w:rFonts w:asciiTheme="majorHAnsi" w:eastAsia="Times New Roman" w:hAnsiTheme="majorHAnsi" w:cs="Calibri"/>
                <w:color w:val="000000"/>
                <w:sz w:val="20"/>
                <w:szCs w:val="20"/>
              </w:rPr>
              <w:t>Олга</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Христос</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Териану</w:t>
            </w:r>
            <w:proofErr w:type="spellEnd"/>
          </w:p>
        </w:tc>
        <w:tc>
          <w:tcPr>
            <w:tcW w:w="1900" w:type="dxa"/>
            <w:shd w:val="clear" w:color="auto" w:fill="auto"/>
            <w:vAlign w:val="bottom"/>
          </w:tcPr>
          <w:p w14:paraId="3D19C904"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2274985</w:t>
            </w:r>
          </w:p>
        </w:tc>
        <w:tc>
          <w:tcPr>
            <w:tcW w:w="1541" w:type="dxa"/>
            <w:shd w:val="clear" w:color="auto" w:fill="auto"/>
            <w:vAlign w:val="bottom"/>
          </w:tcPr>
          <w:p w14:paraId="214182B6"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50%</w:t>
            </w:r>
          </w:p>
        </w:tc>
      </w:tr>
      <w:tr w:rsidR="00AC6968" w14:paraId="58CFBA6F" w14:textId="77777777">
        <w:trPr>
          <w:trHeight w:val="585"/>
        </w:trPr>
        <w:tc>
          <w:tcPr>
            <w:tcW w:w="3416" w:type="dxa"/>
            <w:shd w:val="clear" w:color="auto" w:fill="auto"/>
            <w:vAlign w:val="bottom"/>
          </w:tcPr>
          <w:p w14:paraId="5F3BDD90" w14:textId="77777777" w:rsidR="00AC6968" w:rsidRDefault="00A043F7">
            <w:pPr>
              <w:widowControl w:val="0"/>
              <w:spacing w:after="0" w:line="240" w:lineRule="auto"/>
              <w:rPr>
                <w:rFonts w:asciiTheme="majorHAnsi" w:eastAsia="Times New Roman" w:hAnsiTheme="majorHAnsi" w:cs="Calibri"/>
                <w:color w:val="000000"/>
                <w:sz w:val="20"/>
                <w:szCs w:val="20"/>
              </w:rPr>
            </w:pPr>
            <w:proofErr w:type="spellStart"/>
            <w:r>
              <w:rPr>
                <w:rFonts w:asciiTheme="majorHAnsi" w:eastAsia="Times New Roman" w:hAnsiTheme="majorHAnsi" w:cs="Calibri"/>
                <w:color w:val="000000"/>
                <w:sz w:val="20"/>
                <w:szCs w:val="20"/>
              </w:rPr>
              <w:t>Еуротерра</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България</w:t>
            </w:r>
            <w:proofErr w:type="spellEnd"/>
            <w:r>
              <w:rPr>
                <w:rFonts w:asciiTheme="majorHAnsi" w:eastAsia="Times New Roman" w:hAnsiTheme="majorHAnsi" w:cs="Calibri"/>
                <w:color w:val="000000"/>
                <w:sz w:val="20"/>
                <w:szCs w:val="20"/>
              </w:rPr>
              <w:t xml:space="preserve"> АД - </w:t>
            </w:r>
            <w:proofErr w:type="spellStart"/>
            <w:r>
              <w:rPr>
                <w:rFonts w:asciiTheme="majorHAnsi" w:eastAsia="Times New Roman" w:hAnsiTheme="majorHAnsi" w:cs="Calibri"/>
                <w:color w:val="000000"/>
                <w:sz w:val="20"/>
                <w:szCs w:val="20"/>
              </w:rPr>
              <w:t>обратно</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изкупени</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собствени</w:t>
            </w:r>
            <w:proofErr w:type="spellEnd"/>
            <w:r>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Calibri"/>
                <w:color w:val="000000"/>
                <w:sz w:val="20"/>
                <w:szCs w:val="20"/>
              </w:rPr>
              <w:t>акции</w:t>
            </w:r>
            <w:proofErr w:type="spellEnd"/>
          </w:p>
        </w:tc>
        <w:tc>
          <w:tcPr>
            <w:tcW w:w="1900" w:type="dxa"/>
            <w:shd w:val="clear" w:color="auto" w:fill="auto"/>
            <w:vAlign w:val="bottom"/>
          </w:tcPr>
          <w:p w14:paraId="16AFB941"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129845</w:t>
            </w:r>
          </w:p>
        </w:tc>
        <w:tc>
          <w:tcPr>
            <w:tcW w:w="1541" w:type="dxa"/>
            <w:shd w:val="clear" w:color="auto" w:fill="auto"/>
            <w:vAlign w:val="bottom"/>
          </w:tcPr>
          <w:p w14:paraId="6E62A137"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2.85%</w:t>
            </w:r>
          </w:p>
        </w:tc>
      </w:tr>
      <w:tr w:rsidR="00AC6968" w14:paraId="5C9FEF95" w14:textId="77777777">
        <w:trPr>
          <w:trHeight w:val="300"/>
        </w:trPr>
        <w:tc>
          <w:tcPr>
            <w:tcW w:w="3416" w:type="dxa"/>
            <w:shd w:val="clear" w:color="auto" w:fill="auto"/>
            <w:vAlign w:val="bottom"/>
          </w:tcPr>
          <w:p w14:paraId="34300D1E" w14:textId="77777777" w:rsidR="00AC6968" w:rsidRDefault="00A043F7">
            <w:pPr>
              <w:widowControl w:val="0"/>
              <w:spacing w:after="0" w:line="240" w:lineRule="auto"/>
              <w:rPr>
                <w:rFonts w:asciiTheme="majorHAnsi" w:eastAsia="Times New Roman" w:hAnsiTheme="majorHAnsi" w:cs="Calibri"/>
                <w:sz w:val="20"/>
                <w:szCs w:val="20"/>
              </w:rPr>
            </w:pPr>
            <w:proofErr w:type="spellStart"/>
            <w:r>
              <w:rPr>
                <w:rFonts w:asciiTheme="majorHAnsi" w:eastAsia="Times New Roman" w:hAnsiTheme="majorHAnsi" w:cs="Calibri"/>
                <w:sz w:val="20"/>
                <w:szCs w:val="20"/>
              </w:rPr>
              <w:lastRenderedPageBreak/>
              <w:t>Други</w:t>
            </w:r>
            <w:proofErr w:type="spellEnd"/>
            <w:r>
              <w:rPr>
                <w:rFonts w:asciiTheme="majorHAnsi" w:eastAsia="Times New Roman" w:hAnsiTheme="majorHAnsi" w:cs="Calibri"/>
                <w:sz w:val="20"/>
                <w:szCs w:val="20"/>
              </w:rPr>
              <w:t xml:space="preserve"> </w:t>
            </w:r>
            <w:proofErr w:type="spellStart"/>
            <w:r>
              <w:rPr>
                <w:rFonts w:asciiTheme="majorHAnsi" w:eastAsia="Times New Roman" w:hAnsiTheme="majorHAnsi" w:cs="Calibri"/>
                <w:sz w:val="20"/>
                <w:szCs w:val="20"/>
              </w:rPr>
              <w:t>физически</w:t>
            </w:r>
            <w:proofErr w:type="spellEnd"/>
            <w:r>
              <w:rPr>
                <w:rFonts w:asciiTheme="majorHAnsi" w:eastAsia="Times New Roman" w:hAnsiTheme="majorHAnsi" w:cs="Calibri"/>
                <w:sz w:val="20"/>
                <w:szCs w:val="20"/>
              </w:rPr>
              <w:t xml:space="preserve"> и </w:t>
            </w:r>
            <w:proofErr w:type="spellStart"/>
            <w:r>
              <w:rPr>
                <w:rFonts w:asciiTheme="majorHAnsi" w:eastAsia="Times New Roman" w:hAnsiTheme="majorHAnsi" w:cs="Calibri"/>
                <w:sz w:val="20"/>
                <w:szCs w:val="20"/>
              </w:rPr>
              <w:t>юридически</w:t>
            </w:r>
            <w:proofErr w:type="spellEnd"/>
            <w:r>
              <w:rPr>
                <w:rFonts w:asciiTheme="majorHAnsi" w:eastAsia="Times New Roman" w:hAnsiTheme="majorHAnsi" w:cs="Calibri"/>
                <w:sz w:val="20"/>
                <w:szCs w:val="20"/>
              </w:rPr>
              <w:t xml:space="preserve"> </w:t>
            </w:r>
            <w:proofErr w:type="spellStart"/>
            <w:r>
              <w:rPr>
                <w:rFonts w:asciiTheme="majorHAnsi" w:eastAsia="Times New Roman" w:hAnsiTheme="majorHAnsi" w:cs="Calibri"/>
                <w:sz w:val="20"/>
                <w:szCs w:val="20"/>
              </w:rPr>
              <w:t>лица</w:t>
            </w:r>
            <w:proofErr w:type="spellEnd"/>
          </w:p>
        </w:tc>
        <w:tc>
          <w:tcPr>
            <w:tcW w:w="1900" w:type="dxa"/>
            <w:tcBorders>
              <w:bottom w:val="single" w:sz="4" w:space="0" w:color="000000"/>
            </w:tcBorders>
            <w:shd w:val="clear" w:color="auto" w:fill="auto"/>
            <w:vAlign w:val="bottom"/>
          </w:tcPr>
          <w:p w14:paraId="3273F4BE"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70691</w:t>
            </w:r>
          </w:p>
        </w:tc>
        <w:tc>
          <w:tcPr>
            <w:tcW w:w="1541" w:type="dxa"/>
            <w:tcBorders>
              <w:bottom w:val="single" w:sz="4" w:space="0" w:color="000000"/>
            </w:tcBorders>
            <w:shd w:val="clear" w:color="auto" w:fill="auto"/>
            <w:vAlign w:val="bottom"/>
          </w:tcPr>
          <w:p w14:paraId="2580E362"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1.56%</w:t>
            </w:r>
          </w:p>
        </w:tc>
      </w:tr>
      <w:tr w:rsidR="00AC6968" w14:paraId="2A64D7EE" w14:textId="77777777">
        <w:trPr>
          <w:trHeight w:val="300"/>
        </w:trPr>
        <w:tc>
          <w:tcPr>
            <w:tcW w:w="3416" w:type="dxa"/>
            <w:shd w:val="clear" w:color="auto" w:fill="auto"/>
            <w:vAlign w:val="bottom"/>
          </w:tcPr>
          <w:p w14:paraId="7EB6FDD1" w14:textId="77777777" w:rsidR="00AC6968" w:rsidRDefault="00A043F7">
            <w:pPr>
              <w:widowControl w:val="0"/>
              <w:spacing w:after="0" w:line="240" w:lineRule="auto"/>
              <w:jc w:val="right"/>
              <w:rPr>
                <w:rFonts w:asciiTheme="majorHAnsi" w:eastAsia="Times New Roman" w:hAnsiTheme="majorHAnsi" w:cs="Calibri"/>
                <w:b/>
                <w:bCs/>
                <w:sz w:val="20"/>
                <w:szCs w:val="20"/>
              </w:rPr>
            </w:pPr>
            <w:proofErr w:type="spellStart"/>
            <w:r>
              <w:rPr>
                <w:rFonts w:asciiTheme="majorHAnsi" w:eastAsia="Times New Roman" w:hAnsiTheme="majorHAnsi" w:cs="Calibri"/>
                <w:b/>
                <w:bCs/>
                <w:sz w:val="20"/>
                <w:szCs w:val="20"/>
              </w:rPr>
              <w:t>Общо</w:t>
            </w:r>
            <w:proofErr w:type="spellEnd"/>
          </w:p>
        </w:tc>
        <w:tc>
          <w:tcPr>
            <w:tcW w:w="1900" w:type="dxa"/>
            <w:shd w:val="clear" w:color="auto" w:fill="auto"/>
            <w:vAlign w:val="bottom"/>
          </w:tcPr>
          <w:p w14:paraId="4D344132"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4550000</w:t>
            </w:r>
          </w:p>
        </w:tc>
        <w:tc>
          <w:tcPr>
            <w:tcW w:w="1541" w:type="dxa"/>
            <w:shd w:val="clear" w:color="auto" w:fill="auto"/>
            <w:vAlign w:val="bottom"/>
          </w:tcPr>
          <w:p w14:paraId="68B6082F"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100%</w:t>
            </w:r>
          </w:p>
        </w:tc>
      </w:tr>
    </w:tbl>
    <w:p w14:paraId="79BC8BAA" w14:textId="77777777" w:rsidR="00AC6968" w:rsidRDefault="00AC6968">
      <w:pPr>
        <w:spacing w:line="360" w:lineRule="auto"/>
        <w:rPr>
          <w:rFonts w:asciiTheme="majorHAnsi" w:hAnsiTheme="majorHAnsi"/>
          <w:sz w:val="20"/>
          <w:szCs w:val="20"/>
          <w:u w:val="single"/>
        </w:rPr>
      </w:pPr>
    </w:p>
    <w:p w14:paraId="51470087" w14:textId="77777777" w:rsidR="00AC6968" w:rsidRDefault="00A043F7">
      <w:pPr>
        <w:jc w:val="both"/>
        <w:rPr>
          <w:rFonts w:asciiTheme="majorHAnsi" w:hAnsiTheme="majorHAnsi"/>
          <w:sz w:val="20"/>
          <w:szCs w:val="20"/>
          <w:lang w:val="bg-BG"/>
        </w:rPr>
      </w:pPr>
      <w:r>
        <w:rPr>
          <w:rFonts w:asciiTheme="majorHAnsi" w:hAnsiTheme="majorHAnsi"/>
          <w:sz w:val="20"/>
          <w:szCs w:val="20"/>
        </w:rPr>
        <w:t>“ЕУРОТЕРРА БЪЛГАРИЯ” АД</w:t>
      </w:r>
      <w:r>
        <w:rPr>
          <w:rFonts w:asciiTheme="majorHAnsi" w:hAnsiTheme="majorHAnsi"/>
          <w:color w:val="000000"/>
          <w:sz w:val="20"/>
          <w:szCs w:val="20"/>
        </w:rPr>
        <w:t xml:space="preserve"> </w:t>
      </w:r>
      <w:proofErr w:type="spellStart"/>
      <w:r>
        <w:rPr>
          <w:rFonts w:asciiTheme="majorHAnsi" w:hAnsiTheme="majorHAnsi"/>
          <w:sz w:val="20"/>
          <w:szCs w:val="20"/>
        </w:rPr>
        <w:t>има</w:t>
      </w:r>
      <w:proofErr w:type="spellEnd"/>
      <w:r>
        <w:rPr>
          <w:rFonts w:asciiTheme="majorHAnsi" w:hAnsiTheme="majorHAnsi"/>
          <w:sz w:val="20"/>
          <w:szCs w:val="20"/>
        </w:rPr>
        <w:t xml:space="preserve"> </w:t>
      </w:r>
      <w:proofErr w:type="spellStart"/>
      <w:r>
        <w:rPr>
          <w:rFonts w:asciiTheme="majorHAnsi" w:hAnsiTheme="majorHAnsi"/>
          <w:sz w:val="20"/>
          <w:szCs w:val="20"/>
        </w:rPr>
        <w:t>едностепенна</w:t>
      </w:r>
      <w:proofErr w:type="spellEnd"/>
      <w:r>
        <w:rPr>
          <w:rFonts w:asciiTheme="majorHAnsi" w:hAnsiTheme="majorHAnsi"/>
          <w:sz w:val="20"/>
          <w:szCs w:val="20"/>
        </w:rPr>
        <w:t xml:space="preserve"> </w:t>
      </w:r>
      <w:proofErr w:type="spellStart"/>
      <w:r>
        <w:rPr>
          <w:rFonts w:asciiTheme="majorHAnsi" w:hAnsiTheme="majorHAnsi"/>
          <w:sz w:val="20"/>
          <w:szCs w:val="20"/>
        </w:rPr>
        <w:t>система</w:t>
      </w:r>
      <w:proofErr w:type="spellEnd"/>
      <w:r>
        <w:rPr>
          <w:rFonts w:asciiTheme="majorHAnsi" w:hAnsiTheme="majorHAnsi"/>
          <w:sz w:val="20"/>
          <w:szCs w:val="20"/>
        </w:rPr>
        <w:t xml:space="preserve"> </w:t>
      </w:r>
      <w:proofErr w:type="spellStart"/>
      <w:r>
        <w:rPr>
          <w:rFonts w:asciiTheme="majorHAnsi" w:hAnsiTheme="majorHAnsi"/>
          <w:sz w:val="20"/>
          <w:szCs w:val="20"/>
        </w:rPr>
        <w:t>на</w:t>
      </w:r>
      <w:proofErr w:type="spellEnd"/>
      <w:r>
        <w:rPr>
          <w:rFonts w:asciiTheme="majorHAnsi" w:hAnsiTheme="majorHAnsi"/>
          <w:sz w:val="20"/>
          <w:szCs w:val="20"/>
        </w:rPr>
        <w:t xml:space="preserve"> </w:t>
      </w:r>
      <w:proofErr w:type="spellStart"/>
      <w:r>
        <w:rPr>
          <w:rFonts w:asciiTheme="majorHAnsi" w:hAnsiTheme="majorHAnsi"/>
          <w:sz w:val="20"/>
          <w:szCs w:val="20"/>
        </w:rPr>
        <w:t>управление</w:t>
      </w:r>
      <w:proofErr w:type="spellEnd"/>
      <w:r>
        <w:rPr>
          <w:rFonts w:asciiTheme="majorHAnsi" w:hAnsiTheme="majorHAnsi"/>
          <w:sz w:val="20"/>
          <w:szCs w:val="20"/>
        </w:rPr>
        <w:t xml:space="preserve">. </w:t>
      </w:r>
      <w:proofErr w:type="spellStart"/>
      <w:r>
        <w:rPr>
          <w:rFonts w:asciiTheme="majorHAnsi" w:hAnsiTheme="majorHAnsi"/>
          <w:sz w:val="20"/>
          <w:szCs w:val="20"/>
        </w:rPr>
        <w:t>Дружеството</w:t>
      </w:r>
      <w:proofErr w:type="spellEnd"/>
      <w:r>
        <w:rPr>
          <w:rFonts w:asciiTheme="majorHAnsi" w:hAnsiTheme="majorHAnsi"/>
          <w:sz w:val="20"/>
          <w:szCs w:val="20"/>
        </w:rPr>
        <w:t xml:space="preserve"> </w:t>
      </w:r>
      <w:proofErr w:type="spellStart"/>
      <w:r>
        <w:rPr>
          <w:rFonts w:asciiTheme="majorHAnsi" w:hAnsiTheme="majorHAnsi"/>
          <w:sz w:val="20"/>
          <w:szCs w:val="20"/>
        </w:rPr>
        <w:t>се</w:t>
      </w:r>
      <w:proofErr w:type="spellEnd"/>
      <w:r>
        <w:rPr>
          <w:rFonts w:asciiTheme="majorHAnsi" w:hAnsiTheme="majorHAnsi"/>
          <w:sz w:val="20"/>
          <w:szCs w:val="20"/>
        </w:rPr>
        <w:t xml:space="preserve"> </w:t>
      </w:r>
      <w:proofErr w:type="spellStart"/>
      <w:r>
        <w:rPr>
          <w:rFonts w:asciiTheme="majorHAnsi" w:hAnsiTheme="majorHAnsi"/>
          <w:sz w:val="20"/>
          <w:szCs w:val="20"/>
        </w:rPr>
        <w:t>управлява</w:t>
      </w:r>
      <w:proofErr w:type="spellEnd"/>
      <w:r>
        <w:rPr>
          <w:rFonts w:asciiTheme="majorHAnsi" w:hAnsiTheme="majorHAnsi"/>
          <w:sz w:val="20"/>
          <w:szCs w:val="20"/>
        </w:rPr>
        <w:t xml:space="preserve"> и </w:t>
      </w:r>
      <w:proofErr w:type="spellStart"/>
      <w:r>
        <w:rPr>
          <w:rFonts w:asciiTheme="majorHAnsi" w:hAnsiTheme="majorHAnsi"/>
          <w:sz w:val="20"/>
          <w:szCs w:val="20"/>
        </w:rPr>
        <w:t>представлява</w:t>
      </w:r>
      <w:proofErr w:type="spellEnd"/>
      <w:r>
        <w:rPr>
          <w:rFonts w:asciiTheme="majorHAnsi" w:hAnsiTheme="majorHAnsi"/>
          <w:sz w:val="20"/>
          <w:szCs w:val="20"/>
        </w:rPr>
        <w:t xml:space="preserve"> </w:t>
      </w:r>
      <w:proofErr w:type="spellStart"/>
      <w:r>
        <w:rPr>
          <w:rFonts w:asciiTheme="majorHAnsi" w:hAnsiTheme="majorHAnsi"/>
          <w:sz w:val="20"/>
          <w:szCs w:val="20"/>
        </w:rPr>
        <w:t>от</w:t>
      </w:r>
      <w:proofErr w:type="spellEnd"/>
      <w:r>
        <w:rPr>
          <w:rFonts w:asciiTheme="majorHAnsi" w:hAnsiTheme="majorHAnsi"/>
          <w:sz w:val="20"/>
          <w:szCs w:val="20"/>
        </w:rPr>
        <w:t xml:space="preserve"> </w:t>
      </w:r>
      <w:proofErr w:type="spellStart"/>
      <w:r>
        <w:rPr>
          <w:rFonts w:asciiTheme="majorHAnsi" w:hAnsiTheme="majorHAnsi"/>
          <w:sz w:val="20"/>
          <w:szCs w:val="20"/>
        </w:rPr>
        <w:t>Съвет</w:t>
      </w:r>
      <w:proofErr w:type="spellEnd"/>
      <w:r>
        <w:rPr>
          <w:rFonts w:asciiTheme="majorHAnsi" w:hAnsiTheme="majorHAnsi"/>
          <w:sz w:val="20"/>
          <w:szCs w:val="20"/>
        </w:rPr>
        <w:t xml:space="preserve"> </w:t>
      </w:r>
      <w:proofErr w:type="spellStart"/>
      <w:r>
        <w:rPr>
          <w:rFonts w:asciiTheme="majorHAnsi" w:hAnsiTheme="majorHAnsi"/>
          <w:sz w:val="20"/>
          <w:szCs w:val="20"/>
        </w:rPr>
        <w:t>на</w:t>
      </w:r>
      <w:proofErr w:type="spellEnd"/>
      <w:r>
        <w:rPr>
          <w:rFonts w:asciiTheme="majorHAnsi" w:hAnsiTheme="majorHAnsi"/>
          <w:sz w:val="20"/>
          <w:szCs w:val="20"/>
        </w:rPr>
        <w:t xml:space="preserve"> </w:t>
      </w:r>
      <w:proofErr w:type="spellStart"/>
      <w:r>
        <w:rPr>
          <w:rFonts w:asciiTheme="majorHAnsi" w:hAnsiTheme="majorHAnsi"/>
          <w:sz w:val="20"/>
          <w:szCs w:val="20"/>
        </w:rPr>
        <w:t>директорите</w:t>
      </w:r>
      <w:proofErr w:type="spellEnd"/>
      <w:r>
        <w:rPr>
          <w:rFonts w:asciiTheme="majorHAnsi" w:hAnsiTheme="majorHAnsi"/>
          <w:sz w:val="20"/>
          <w:szCs w:val="20"/>
        </w:rPr>
        <w:t xml:space="preserve">. </w:t>
      </w:r>
    </w:p>
    <w:p w14:paraId="2BEC19FB" w14:textId="0D66FE3D" w:rsidR="00AC6968" w:rsidRDefault="00A043F7">
      <w:pPr>
        <w:jc w:val="both"/>
        <w:rPr>
          <w:rFonts w:asciiTheme="majorHAnsi" w:hAnsiTheme="majorHAnsi"/>
          <w:sz w:val="20"/>
          <w:szCs w:val="20"/>
          <w:lang w:val="bg-BG"/>
        </w:rPr>
      </w:pPr>
      <w:r>
        <w:rPr>
          <w:rFonts w:asciiTheme="majorHAnsi" w:hAnsiTheme="majorHAnsi"/>
          <w:sz w:val="20"/>
          <w:szCs w:val="20"/>
          <w:lang w:val="bg-BG"/>
        </w:rPr>
        <w:t xml:space="preserve">Към </w:t>
      </w:r>
      <w:r w:rsidR="00292ADA">
        <w:rPr>
          <w:rFonts w:asciiTheme="majorHAnsi" w:hAnsiTheme="majorHAnsi"/>
          <w:sz w:val="20"/>
          <w:szCs w:val="20"/>
          <w:lang w:val="bg-BG"/>
        </w:rPr>
        <w:t>30.06.2024</w:t>
      </w:r>
      <w:r>
        <w:rPr>
          <w:rFonts w:asciiTheme="majorHAnsi" w:hAnsiTheme="majorHAnsi"/>
          <w:sz w:val="20"/>
          <w:szCs w:val="20"/>
          <w:lang w:val="ru-RU"/>
        </w:rPr>
        <w:t xml:space="preserve"> </w:t>
      </w:r>
      <w:r>
        <w:rPr>
          <w:rFonts w:asciiTheme="majorHAnsi" w:hAnsiTheme="majorHAnsi"/>
          <w:sz w:val="20"/>
          <w:szCs w:val="20"/>
          <w:lang w:val="bg-BG"/>
        </w:rPr>
        <w:t xml:space="preserve">г. съставът на Съвета на директорите на дружеството е в следния състав:  </w:t>
      </w:r>
    </w:p>
    <w:p w14:paraId="1BAD6AFB" w14:textId="77777777" w:rsidR="00AC6968" w:rsidRDefault="00A043F7">
      <w:pPr>
        <w:pStyle w:val="BodyTextIndent"/>
        <w:ind w:firstLine="0"/>
        <w:rPr>
          <w:rFonts w:asciiTheme="majorHAnsi" w:hAnsiTheme="majorHAnsi"/>
          <w:sz w:val="20"/>
        </w:rPr>
      </w:pPr>
      <w:r>
        <w:rPr>
          <w:rFonts w:asciiTheme="majorHAnsi" w:hAnsiTheme="majorHAnsi"/>
          <w:sz w:val="20"/>
        </w:rPr>
        <w:t xml:space="preserve">1. Михаил </w:t>
      </w:r>
      <w:proofErr w:type="spellStart"/>
      <w:r>
        <w:rPr>
          <w:rFonts w:asciiTheme="majorHAnsi" w:hAnsiTheme="majorHAnsi"/>
          <w:sz w:val="20"/>
        </w:rPr>
        <w:t>Терианос</w:t>
      </w:r>
      <w:proofErr w:type="spellEnd"/>
      <w:r>
        <w:rPr>
          <w:rFonts w:asciiTheme="majorHAnsi" w:hAnsiTheme="majorHAnsi"/>
          <w:sz w:val="20"/>
        </w:rPr>
        <w:t xml:space="preserve"> – Изпълнителен директор и Председател на СД</w:t>
      </w:r>
    </w:p>
    <w:p w14:paraId="66EDECE2" w14:textId="77777777" w:rsidR="00AC6968" w:rsidRDefault="00A043F7">
      <w:pPr>
        <w:pStyle w:val="BodyTextIndent"/>
        <w:ind w:firstLine="0"/>
        <w:rPr>
          <w:rFonts w:asciiTheme="majorHAnsi" w:hAnsiTheme="majorHAnsi"/>
          <w:sz w:val="20"/>
        </w:rPr>
      </w:pPr>
      <w:r>
        <w:rPr>
          <w:rFonts w:asciiTheme="majorHAnsi" w:hAnsiTheme="majorHAnsi"/>
          <w:sz w:val="20"/>
        </w:rPr>
        <w:t xml:space="preserve">2. Олга </w:t>
      </w:r>
      <w:proofErr w:type="spellStart"/>
      <w:r>
        <w:rPr>
          <w:rFonts w:asciiTheme="majorHAnsi" w:hAnsiTheme="majorHAnsi"/>
          <w:sz w:val="20"/>
        </w:rPr>
        <w:t>Териану</w:t>
      </w:r>
      <w:proofErr w:type="spellEnd"/>
      <w:r>
        <w:rPr>
          <w:rFonts w:asciiTheme="majorHAnsi" w:hAnsiTheme="majorHAnsi"/>
          <w:sz w:val="20"/>
        </w:rPr>
        <w:t xml:space="preserve"> – Заместник - председател  на СД</w:t>
      </w:r>
    </w:p>
    <w:p w14:paraId="50A581CD" w14:textId="77777777" w:rsidR="00AC6968" w:rsidRDefault="00A043F7">
      <w:pPr>
        <w:pStyle w:val="BodyTextIndent"/>
        <w:ind w:firstLine="0"/>
        <w:rPr>
          <w:rFonts w:asciiTheme="majorHAnsi" w:hAnsiTheme="majorHAnsi"/>
          <w:sz w:val="20"/>
        </w:rPr>
      </w:pPr>
      <w:r>
        <w:rPr>
          <w:rFonts w:asciiTheme="majorHAnsi" w:hAnsiTheme="majorHAnsi"/>
          <w:sz w:val="20"/>
        </w:rPr>
        <w:t xml:space="preserve">3. Маргарита Алексиева Стоянова  – независим член на СД </w:t>
      </w:r>
    </w:p>
    <w:p w14:paraId="78717E4B" w14:textId="77777777" w:rsidR="00AC6968" w:rsidRDefault="00A043F7">
      <w:pPr>
        <w:pStyle w:val="BodyTextIndent"/>
        <w:ind w:firstLine="0"/>
        <w:rPr>
          <w:rFonts w:asciiTheme="majorHAnsi" w:hAnsiTheme="majorHAnsi"/>
          <w:sz w:val="20"/>
        </w:rPr>
      </w:pPr>
      <w:r>
        <w:rPr>
          <w:rFonts w:asciiTheme="majorHAnsi" w:hAnsiTheme="majorHAnsi"/>
          <w:sz w:val="20"/>
          <w:lang w:val="ru-RU"/>
        </w:rPr>
        <w:t xml:space="preserve">Дружеството </w:t>
      </w:r>
      <w:r>
        <w:rPr>
          <w:rFonts w:asciiTheme="majorHAnsi" w:hAnsiTheme="majorHAnsi"/>
          <w:sz w:val="20"/>
        </w:rPr>
        <w:t xml:space="preserve">се представлява от </w:t>
      </w:r>
      <w:r>
        <w:rPr>
          <w:rFonts w:asciiTheme="majorHAnsi" w:hAnsiTheme="majorHAnsi"/>
          <w:sz w:val="20"/>
          <w:lang w:val="ru-RU"/>
        </w:rPr>
        <w:t xml:space="preserve">Михаил Пантазис Терианос - Изпълнителен директор и Председател на Съвета на директорите и Олга Христос Териану – </w:t>
      </w:r>
      <w:r>
        <w:rPr>
          <w:rFonts w:asciiTheme="majorHAnsi" w:hAnsiTheme="majorHAnsi"/>
          <w:sz w:val="20"/>
        </w:rPr>
        <w:t>Заместник–председател  на Съвета на директорите</w:t>
      </w:r>
      <w:r>
        <w:rPr>
          <w:rFonts w:asciiTheme="majorHAnsi" w:hAnsiTheme="majorHAnsi"/>
          <w:sz w:val="20"/>
          <w:lang w:val="ru-RU"/>
        </w:rPr>
        <w:t>, заедно и поотделно.</w:t>
      </w:r>
      <w:r>
        <w:rPr>
          <w:rFonts w:asciiTheme="majorHAnsi" w:hAnsiTheme="majorHAnsi"/>
          <w:sz w:val="20"/>
        </w:rPr>
        <w:t xml:space="preserve"> </w:t>
      </w:r>
    </w:p>
    <w:p w14:paraId="350707DF" w14:textId="77777777" w:rsidR="00AC6968" w:rsidRDefault="00A043F7">
      <w:pPr>
        <w:pStyle w:val="BodyTextIndent"/>
        <w:ind w:firstLine="0"/>
        <w:rPr>
          <w:rFonts w:asciiTheme="majorHAnsi" w:hAnsiTheme="majorHAnsi"/>
          <w:sz w:val="20"/>
        </w:rPr>
      </w:pPr>
      <w:r>
        <w:rPr>
          <w:rFonts w:asciiTheme="majorHAnsi" w:hAnsiTheme="majorHAnsi"/>
          <w:sz w:val="20"/>
        </w:rPr>
        <w:t>През периода няма промяна  начина на представляване на дружеството. Не е назначаван или освобождаван прокурист.</w:t>
      </w:r>
    </w:p>
    <w:p w14:paraId="69C5BCF7" w14:textId="77777777" w:rsidR="00AC6968" w:rsidRDefault="00A043F7">
      <w:pPr>
        <w:pStyle w:val="BodyTextIndent"/>
        <w:ind w:firstLine="0"/>
        <w:rPr>
          <w:rFonts w:asciiTheme="majorHAnsi" w:hAnsiTheme="majorHAnsi"/>
          <w:sz w:val="20"/>
        </w:rPr>
      </w:pPr>
      <w:r>
        <w:rPr>
          <w:rFonts w:asciiTheme="majorHAnsi" w:hAnsiTheme="majorHAnsi"/>
          <w:sz w:val="20"/>
        </w:rPr>
        <w:t xml:space="preserve">Съгласно Закона за независимия финансов </w:t>
      </w:r>
      <w:proofErr w:type="spellStart"/>
      <w:r>
        <w:rPr>
          <w:rFonts w:asciiTheme="majorHAnsi" w:hAnsiTheme="majorHAnsi"/>
          <w:sz w:val="20"/>
        </w:rPr>
        <w:t>отдит</w:t>
      </w:r>
      <w:proofErr w:type="spellEnd"/>
      <w:r>
        <w:rPr>
          <w:rFonts w:asciiTheme="majorHAnsi" w:hAnsiTheme="majorHAnsi"/>
          <w:sz w:val="20"/>
        </w:rPr>
        <w:t xml:space="preserve"> е избран одитен комитет в състав:</w:t>
      </w:r>
    </w:p>
    <w:p w14:paraId="61EF5075"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Руслан Пейчев</w:t>
      </w:r>
    </w:p>
    <w:p w14:paraId="34EE7497"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Тодор Пасков</w:t>
      </w:r>
    </w:p>
    <w:p w14:paraId="3AFBA7C3"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 xml:space="preserve">Константинос </w:t>
      </w:r>
      <w:proofErr w:type="spellStart"/>
      <w:r>
        <w:rPr>
          <w:rFonts w:asciiTheme="majorHAnsi" w:hAnsiTheme="majorHAnsi"/>
          <w:sz w:val="20"/>
        </w:rPr>
        <w:t>Каридис</w:t>
      </w:r>
      <w:proofErr w:type="spellEnd"/>
    </w:p>
    <w:p w14:paraId="24F3A8D8" w14:textId="77777777" w:rsidR="00A55057" w:rsidRDefault="00A55057">
      <w:pPr>
        <w:pStyle w:val="BodyTextIndent"/>
        <w:ind w:firstLine="0"/>
        <w:rPr>
          <w:rFonts w:asciiTheme="majorHAnsi" w:hAnsiTheme="majorHAnsi"/>
          <w:sz w:val="20"/>
          <w:lang w:val="en-US"/>
        </w:rPr>
      </w:pPr>
    </w:p>
    <w:p w14:paraId="635FB4B0" w14:textId="549CF86F" w:rsidR="00AC6968" w:rsidRDefault="00A043F7">
      <w:pPr>
        <w:pStyle w:val="BodyTextIndent"/>
        <w:ind w:firstLine="0"/>
        <w:rPr>
          <w:rFonts w:asciiTheme="majorHAnsi" w:hAnsiTheme="majorHAnsi"/>
          <w:sz w:val="20"/>
        </w:rPr>
      </w:pPr>
      <w:r>
        <w:rPr>
          <w:rFonts w:asciiTheme="majorHAnsi" w:hAnsiTheme="majorHAnsi"/>
          <w:sz w:val="20"/>
        </w:rPr>
        <w:t xml:space="preserve">Към </w:t>
      </w:r>
      <w:r w:rsidR="00292ADA">
        <w:rPr>
          <w:rFonts w:asciiTheme="majorHAnsi" w:hAnsiTheme="majorHAnsi"/>
          <w:sz w:val="20"/>
        </w:rPr>
        <w:t>30.06.2024</w:t>
      </w:r>
      <w:r>
        <w:rPr>
          <w:rFonts w:asciiTheme="majorHAnsi" w:hAnsiTheme="majorHAnsi"/>
          <w:sz w:val="20"/>
        </w:rPr>
        <w:t xml:space="preserve"> г. “ЕУРОТЕРРА БЪЛГАРИЯ” АД няма разкрити клонове и представителства в страната и чужбина. </w:t>
      </w:r>
    </w:p>
    <w:p w14:paraId="69A39D66" w14:textId="77777777" w:rsidR="00AC6968" w:rsidRDefault="00AC6968">
      <w:pPr>
        <w:pStyle w:val="BodyTextIndent"/>
        <w:ind w:firstLine="0"/>
        <w:rPr>
          <w:rFonts w:asciiTheme="majorHAnsi" w:hAnsiTheme="majorHAnsi"/>
          <w:sz w:val="20"/>
        </w:rPr>
      </w:pPr>
    </w:p>
    <w:p w14:paraId="44DA4D9D" w14:textId="4352DB56" w:rsidR="00AC6968" w:rsidRDefault="00A043F7">
      <w:pPr>
        <w:rPr>
          <w:rFonts w:asciiTheme="majorHAnsi" w:hAnsiTheme="majorHAnsi"/>
          <w:sz w:val="20"/>
          <w:szCs w:val="20"/>
          <w:lang w:val="bg-BG"/>
        </w:rPr>
      </w:pPr>
      <w:r>
        <w:rPr>
          <w:rFonts w:asciiTheme="majorHAnsi" w:hAnsiTheme="majorHAnsi"/>
          <w:sz w:val="20"/>
          <w:szCs w:val="20"/>
          <w:lang w:val="bg-BG"/>
        </w:rPr>
        <w:t xml:space="preserve">Средната численост на персонала  за отчетния  период на  дружеството е </w:t>
      </w:r>
      <w:r w:rsidR="009149E1">
        <w:rPr>
          <w:rFonts w:asciiTheme="majorHAnsi" w:hAnsiTheme="majorHAnsi"/>
          <w:sz w:val="20"/>
          <w:szCs w:val="20"/>
          <w:lang w:val="bg-BG"/>
        </w:rPr>
        <w:t>6</w:t>
      </w:r>
      <w:r>
        <w:rPr>
          <w:rFonts w:asciiTheme="majorHAnsi" w:hAnsiTheme="majorHAnsi"/>
          <w:sz w:val="20"/>
          <w:szCs w:val="20"/>
          <w:lang w:val="bg-BG"/>
        </w:rPr>
        <w:t xml:space="preserve"> (</w:t>
      </w:r>
      <w:r w:rsidR="009149E1">
        <w:rPr>
          <w:rFonts w:asciiTheme="majorHAnsi" w:hAnsiTheme="majorHAnsi"/>
          <w:sz w:val="20"/>
          <w:szCs w:val="20"/>
          <w:lang w:val="bg-BG"/>
        </w:rPr>
        <w:t>шест</w:t>
      </w:r>
      <w:r>
        <w:rPr>
          <w:rFonts w:asciiTheme="majorHAnsi" w:hAnsiTheme="majorHAnsi"/>
          <w:sz w:val="20"/>
          <w:szCs w:val="20"/>
          <w:lang w:val="bg-BG"/>
        </w:rPr>
        <w:t>) служители.</w:t>
      </w:r>
    </w:p>
    <w:p w14:paraId="5CB5554C" w14:textId="5C32B427" w:rsidR="00D43F69" w:rsidRPr="00E87C1E" w:rsidRDefault="00D43F69">
      <w:pPr>
        <w:rPr>
          <w:rFonts w:asciiTheme="majorHAnsi" w:hAnsiTheme="majorHAnsi"/>
          <w:sz w:val="20"/>
          <w:szCs w:val="20"/>
          <w:lang w:val="bg-BG"/>
        </w:rPr>
      </w:pPr>
      <w:r w:rsidRPr="00E87C1E">
        <w:rPr>
          <w:rFonts w:asciiTheme="majorHAnsi" w:hAnsiTheme="majorHAnsi"/>
          <w:sz w:val="20"/>
          <w:szCs w:val="20"/>
          <w:lang w:val="bg-BG"/>
        </w:rPr>
        <w:t>Сделки със свързани лица</w:t>
      </w:r>
    </w:p>
    <w:p w14:paraId="56FD6443" w14:textId="5ECF69DB" w:rsidR="00D43F69" w:rsidRPr="00E87C1E" w:rsidRDefault="00C43984">
      <w:pPr>
        <w:rPr>
          <w:rFonts w:asciiTheme="majorHAnsi" w:hAnsiTheme="majorHAnsi"/>
          <w:sz w:val="20"/>
          <w:szCs w:val="20"/>
          <w:lang w:val="bg-BG"/>
        </w:rPr>
      </w:pPr>
      <w:proofErr w:type="spellStart"/>
      <w:r w:rsidRPr="00E87C1E">
        <w:rPr>
          <w:rFonts w:asciiTheme="majorHAnsi" w:hAnsiTheme="majorHAnsi"/>
          <w:sz w:val="20"/>
          <w:szCs w:val="20"/>
          <w:lang w:val="bg-BG"/>
        </w:rPr>
        <w:t>Еуротерра</w:t>
      </w:r>
      <w:proofErr w:type="spellEnd"/>
      <w:r w:rsidRPr="00E87C1E">
        <w:rPr>
          <w:rFonts w:asciiTheme="majorHAnsi" w:hAnsiTheme="majorHAnsi"/>
          <w:sz w:val="20"/>
          <w:szCs w:val="20"/>
          <w:lang w:val="bg-BG"/>
        </w:rPr>
        <w:t xml:space="preserve"> България АД</w:t>
      </w:r>
      <w:r w:rsidR="00D43F69" w:rsidRPr="00E87C1E">
        <w:rPr>
          <w:rFonts w:asciiTheme="majorHAnsi" w:hAnsiTheme="majorHAnsi"/>
          <w:sz w:val="20"/>
          <w:szCs w:val="20"/>
          <w:lang w:val="bg-BG"/>
        </w:rPr>
        <w:t xml:space="preserve"> има вземания от свързани лица – дружества под общ контрол към </w:t>
      </w:r>
      <w:r w:rsidR="00292ADA">
        <w:rPr>
          <w:rFonts w:asciiTheme="majorHAnsi" w:hAnsiTheme="majorHAnsi"/>
          <w:sz w:val="20"/>
          <w:szCs w:val="20"/>
          <w:lang w:val="bg-BG"/>
        </w:rPr>
        <w:t>30.06.2024</w:t>
      </w:r>
      <w:r w:rsidR="00D43F69" w:rsidRPr="00E87C1E">
        <w:rPr>
          <w:rFonts w:asciiTheme="majorHAnsi" w:hAnsiTheme="majorHAnsi"/>
          <w:sz w:val="20"/>
          <w:szCs w:val="20"/>
          <w:lang w:val="bg-BG"/>
        </w:rPr>
        <w:t xml:space="preserve"> г. в размер на </w:t>
      </w:r>
      <w:r w:rsidR="00AE4968">
        <w:rPr>
          <w:rFonts w:asciiTheme="majorHAnsi" w:hAnsiTheme="majorHAnsi"/>
          <w:sz w:val="20"/>
          <w:szCs w:val="20"/>
          <w:lang w:val="bg-BG"/>
        </w:rPr>
        <w:t>1</w:t>
      </w:r>
      <w:r w:rsidR="00292ADA">
        <w:rPr>
          <w:rFonts w:asciiTheme="majorHAnsi" w:hAnsiTheme="majorHAnsi"/>
          <w:sz w:val="20"/>
          <w:szCs w:val="20"/>
          <w:lang w:val="bg-BG"/>
        </w:rPr>
        <w:t>21</w:t>
      </w:r>
      <w:r w:rsidR="00242B78">
        <w:rPr>
          <w:rFonts w:asciiTheme="majorHAnsi" w:hAnsiTheme="majorHAnsi"/>
          <w:sz w:val="20"/>
          <w:szCs w:val="20"/>
          <w:lang w:val="bg-BG"/>
        </w:rPr>
        <w:t xml:space="preserve"> </w:t>
      </w:r>
      <w:r w:rsidR="00D43F69" w:rsidRPr="00E87C1E">
        <w:rPr>
          <w:rFonts w:asciiTheme="majorHAnsi" w:hAnsiTheme="majorHAnsi"/>
          <w:sz w:val="20"/>
          <w:szCs w:val="20"/>
          <w:lang w:val="bg-BG"/>
        </w:rPr>
        <w:t>хил. лв. по силата на сключени договори за наеми</w:t>
      </w:r>
      <w:r w:rsidR="003E1CB9" w:rsidRPr="00E87C1E">
        <w:rPr>
          <w:rFonts w:asciiTheme="majorHAnsi" w:hAnsiTheme="majorHAnsi"/>
          <w:sz w:val="20"/>
          <w:szCs w:val="20"/>
          <w:lang w:val="bg-BG"/>
        </w:rPr>
        <w:t xml:space="preserve"> и от временни междуфирмени заеми. </w:t>
      </w:r>
    </w:p>
    <w:p w14:paraId="1735EE06" w14:textId="3BFB4B51" w:rsidR="00D43F69" w:rsidRPr="00E87C1E" w:rsidRDefault="00C43984">
      <w:pPr>
        <w:rPr>
          <w:rFonts w:asciiTheme="majorHAnsi" w:hAnsiTheme="majorHAnsi"/>
          <w:sz w:val="20"/>
          <w:szCs w:val="20"/>
          <w:lang w:val="bg-BG"/>
        </w:rPr>
      </w:pPr>
      <w:r w:rsidRPr="00E87C1E">
        <w:rPr>
          <w:rFonts w:asciiTheme="majorHAnsi" w:hAnsiTheme="majorHAnsi"/>
          <w:sz w:val="20"/>
          <w:szCs w:val="20"/>
          <w:lang w:val="bg-BG"/>
        </w:rPr>
        <w:t>З</w:t>
      </w:r>
      <w:r w:rsidR="00D43F69" w:rsidRPr="00E87C1E">
        <w:rPr>
          <w:rFonts w:asciiTheme="majorHAnsi" w:hAnsiTheme="majorHAnsi"/>
          <w:sz w:val="20"/>
          <w:szCs w:val="20"/>
          <w:lang w:val="bg-BG"/>
        </w:rPr>
        <w:t>адължения</w:t>
      </w:r>
      <w:r w:rsidRPr="00E87C1E">
        <w:rPr>
          <w:rFonts w:asciiTheme="majorHAnsi" w:hAnsiTheme="majorHAnsi"/>
          <w:sz w:val="20"/>
          <w:szCs w:val="20"/>
          <w:lang w:val="bg-BG"/>
        </w:rPr>
        <w:t>та</w:t>
      </w:r>
      <w:r w:rsidR="00D43F69" w:rsidRPr="00E87C1E">
        <w:rPr>
          <w:rFonts w:asciiTheme="majorHAnsi" w:hAnsiTheme="majorHAnsi"/>
          <w:sz w:val="20"/>
          <w:szCs w:val="20"/>
          <w:lang w:val="bg-BG"/>
        </w:rPr>
        <w:t xml:space="preserve"> към свързани лица – дружества под общ контрол към </w:t>
      </w:r>
      <w:r w:rsidR="00292ADA">
        <w:rPr>
          <w:rFonts w:asciiTheme="majorHAnsi" w:hAnsiTheme="majorHAnsi"/>
          <w:sz w:val="20"/>
          <w:szCs w:val="20"/>
          <w:lang w:val="bg-BG"/>
        </w:rPr>
        <w:t>30.06.2024</w:t>
      </w:r>
      <w:r w:rsidR="00D43F69" w:rsidRPr="00E87C1E">
        <w:rPr>
          <w:rFonts w:asciiTheme="majorHAnsi" w:hAnsiTheme="majorHAnsi"/>
          <w:sz w:val="20"/>
          <w:szCs w:val="20"/>
          <w:lang w:val="bg-BG"/>
        </w:rPr>
        <w:t xml:space="preserve"> в</w:t>
      </w:r>
      <w:r w:rsidRPr="00E87C1E">
        <w:rPr>
          <w:rFonts w:asciiTheme="majorHAnsi" w:hAnsiTheme="majorHAnsi"/>
          <w:sz w:val="20"/>
          <w:szCs w:val="20"/>
          <w:lang w:val="bg-BG"/>
        </w:rPr>
        <w:t>ключват</w:t>
      </w:r>
      <w:r w:rsidR="00FA5397" w:rsidRPr="00E87C1E">
        <w:rPr>
          <w:rFonts w:asciiTheme="majorHAnsi" w:hAnsiTheme="majorHAnsi"/>
          <w:sz w:val="20"/>
          <w:szCs w:val="20"/>
          <w:lang w:val="bg-BG"/>
        </w:rPr>
        <w:t>:</w:t>
      </w:r>
      <w:r w:rsidRPr="00E87C1E">
        <w:rPr>
          <w:rFonts w:asciiTheme="majorHAnsi" w:hAnsiTheme="majorHAnsi"/>
          <w:sz w:val="20"/>
          <w:szCs w:val="20"/>
          <w:lang w:val="bg-BG"/>
        </w:rPr>
        <w:t xml:space="preserve"> </w:t>
      </w:r>
      <w:r w:rsidR="00D43F69" w:rsidRPr="00E87C1E">
        <w:rPr>
          <w:rFonts w:asciiTheme="majorHAnsi" w:hAnsiTheme="majorHAnsi"/>
          <w:sz w:val="20"/>
          <w:szCs w:val="20"/>
          <w:lang w:val="bg-BG"/>
        </w:rPr>
        <w:t xml:space="preserve"> дългосрочни</w:t>
      </w:r>
      <w:r w:rsidRPr="00E87C1E">
        <w:rPr>
          <w:rFonts w:asciiTheme="majorHAnsi" w:hAnsiTheme="majorHAnsi"/>
          <w:sz w:val="20"/>
          <w:szCs w:val="20"/>
          <w:lang w:val="bg-BG"/>
        </w:rPr>
        <w:t xml:space="preserve"> задължения</w:t>
      </w:r>
      <w:r w:rsidR="00D43F69" w:rsidRPr="00E87C1E">
        <w:rPr>
          <w:rFonts w:asciiTheme="majorHAnsi" w:hAnsiTheme="majorHAnsi"/>
          <w:sz w:val="20"/>
          <w:szCs w:val="20"/>
          <w:lang w:val="bg-BG"/>
        </w:rPr>
        <w:t xml:space="preserve"> </w:t>
      </w:r>
      <w:r w:rsidR="003E1CB9" w:rsidRPr="00E87C1E">
        <w:rPr>
          <w:rFonts w:asciiTheme="majorHAnsi" w:hAnsiTheme="majorHAnsi"/>
          <w:sz w:val="20"/>
          <w:szCs w:val="20"/>
          <w:lang w:val="bg-BG"/>
        </w:rPr>
        <w:t xml:space="preserve">в размер на </w:t>
      </w:r>
      <w:r w:rsidR="00242B78">
        <w:rPr>
          <w:rFonts w:asciiTheme="majorHAnsi" w:hAnsiTheme="majorHAnsi"/>
          <w:sz w:val="20"/>
          <w:szCs w:val="20"/>
          <w:lang w:val="bg-BG"/>
        </w:rPr>
        <w:t>1</w:t>
      </w:r>
      <w:r w:rsidR="00AE4968">
        <w:rPr>
          <w:rFonts w:asciiTheme="majorHAnsi" w:hAnsiTheme="majorHAnsi"/>
          <w:sz w:val="20"/>
          <w:szCs w:val="20"/>
          <w:lang w:val="bg-BG"/>
        </w:rPr>
        <w:t>642</w:t>
      </w:r>
      <w:r w:rsidR="003E1CB9" w:rsidRPr="00E87C1E">
        <w:rPr>
          <w:rFonts w:asciiTheme="majorHAnsi" w:hAnsiTheme="majorHAnsi"/>
          <w:sz w:val="20"/>
          <w:szCs w:val="20"/>
          <w:lang w:val="bg-BG"/>
        </w:rPr>
        <w:t xml:space="preserve"> хил. лв. </w:t>
      </w:r>
      <w:r w:rsidR="00242B78">
        <w:rPr>
          <w:rFonts w:asciiTheme="majorHAnsi" w:hAnsiTheme="majorHAnsi"/>
          <w:sz w:val="20"/>
          <w:szCs w:val="20"/>
          <w:lang w:val="bg-BG"/>
        </w:rPr>
        <w:t xml:space="preserve">и краткосрочни задължения в размер на </w:t>
      </w:r>
      <w:r w:rsidR="00292ADA">
        <w:rPr>
          <w:rFonts w:asciiTheme="majorHAnsi" w:hAnsiTheme="majorHAnsi"/>
          <w:sz w:val="20"/>
          <w:szCs w:val="20"/>
          <w:lang w:val="bg-BG"/>
        </w:rPr>
        <w:t>887</w:t>
      </w:r>
      <w:r w:rsidR="00242B78">
        <w:rPr>
          <w:rFonts w:asciiTheme="majorHAnsi" w:hAnsiTheme="majorHAnsi"/>
          <w:sz w:val="20"/>
          <w:szCs w:val="20"/>
          <w:lang w:val="bg-BG"/>
        </w:rPr>
        <w:t xml:space="preserve"> хил. лв. </w:t>
      </w:r>
    </w:p>
    <w:p w14:paraId="200A1448" w14:textId="3DB8DEEE" w:rsidR="00FA3C7C" w:rsidRDefault="00FA3C7C">
      <w:pPr>
        <w:pStyle w:val="ListParagraph"/>
        <w:ind w:left="0"/>
        <w:rPr>
          <w:rFonts w:asciiTheme="majorHAnsi" w:hAnsiTheme="majorHAnsi" w:cs="Times New Roman"/>
          <w:b/>
          <w:sz w:val="20"/>
          <w:szCs w:val="20"/>
          <w:lang w:val="bg-BG"/>
        </w:rPr>
      </w:pPr>
    </w:p>
    <w:p w14:paraId="784D22F4" w14:textId="4242EA52" w:rsidR="00FA3C7C" w:rsidRDefault="00FA3C7C">
      <w:pPr>
        <w:pStyle w:val="ListParagraph"/>
        <w:ind w:left="0"/>
        <w:rPr>
          <w:rFonts w:asciiTheme="majorHAnsi" w:hAnsiTheme="majorHAnsi" w:cs="Times New Roman"/>
          <w:b/>
          <w:sz w:val="20"/>
          <w:szCs w:val="20"/>
          <w:lang w:val="bg-BG"/>
        </w:rPr>
      </w:pPr>
    </w:p>
    <w:p w14:paraId="1C24130C" w14:textId="2EFB833C" w:rsidR="00FA3C7C" w:rsidRDefault="00FA3C7C">
      <w:pPr>
        <w:pStyle w:val="ListParagraph"/>
        <w:ind w:left="0"/>
        <w:rPr>
          <w:rFonts w:asciiTheme="majorHAnsi" w:hAnsiTheme="majorHAnsi" w:cs="Times New Roman"/>
          <w:b/>
          <w:sz w:val="20"/>
          <w:szCs w:val="20"/>
          <w:lang w:val="bg-BG"/>
        </w:rPr>
      </w:pPr>
    </w:p>
    <w:p w14:paraId="01E66067" w14:textId="7E0D0D75" w:rsidR="00FA3C7C" w:rsidRDefault="00FA3C7C">
      <w:pPr>
        <w:pStyle w:val="ListParagraph"/>
        <w:ind w:left="0"/>
        <w:rPr>
          <w:rFonts w:asciiTheme="majorHAnsi" w:hAnsiTheme="majorHAnsi" w:cs="Times New Roman"/>
          <w:b/>
          <w:sz w:val="20"/>
          <w:szCs w:val="20"/>
          <w:lang w:val="bg-BG"/>
        </w:rPr>
      </w:pPr>
    </w:p>
    <w:p w14:paraId="61176E02" w14:textId="77777777" w:rsidR="003E1CB9" w:rsidRDefault="003E1CB9">
      <w:pPr>
        <w:pStyle w:val="ListParagraph"/>
        <w:ind w:left="0"/>
        <w:rPr>
          <w:rFonts w:asciiTheme="majorHAnsi" w:hAnsiTheme="majorHAnsi" w:cs="Times New Roman"/>
          <w:b/>
          <w:sz w:val="20"/>
          <w:szCs w:val="20"/>
          <w:lang w:val="bg-BG"/>
        </w:rPr>
      </w:pPr>
    </w:p>
    <w:p w14:paraId="053583DF" w14:textId="77777777" w:rsidR="00E87DA1" w:rsidRDefault="00E87DA1">
      <w:pPr>
        <w:pStyle w:val="ListParagraph"/>
        <w:ind w:left="0"/>
        <w:rPr>
          <w:rFonts w:asciiTheme="majorHAnsi" w:hAnsiTheme="majorHAnsi" w:cs="Times New Roman"/>
          <w:b/>
          <w:sz w:val="20"/>
          <w:szCs w:val="20"/>
          <w:lang w:val="bg-BG"/>
        </w:rPr>
      </w:pPr>
    </w:p>
    <w:p w14:paraId="283D7786" w14:textId="77777777" w:rsidR="00E87DA1" w:rsidRDefault="00E87DA1">
      <w:pPr>
        <w:pStyle w:val="ListParagraph"/>
        <w:ind w:left="0"/>
        <w:rPr>
          <w:rFonts w:asciiTheme="majorHAnsi" w:hAnsiTheme="majorHAnsi" w:cs="Times New Roman"/>
          <w:b/>
          <w:sz w:val="20"/>
          <w:szCs w:val="20"/>
          <w:lang w:val="bg-BG"/>
        </w:rPr>
      </w:pPr>
    </w:p>
    <w:p w14:paraId="42DE587D" w14:textId="77777777" w:rsidR="00242B78" w:rsidRDefault="00242B78">
      <w:pPr>
        <w:pStyle w:val="ListParagraph"/>
        <w:ind w:left="0"/>
        <w:rPr>
          <w:rFonts w:asciiTheme="majorHAnsi" w:hAnsiTheme="majorHAnsi" w:cs="Times New Roman"/>
          <w:b/>
          <w:sz w:val="20"/>
          <w:szCs w:val="20"/>
          <w:lang w:val="bg-BG"/>
        </w:rPr>
      </w:pPr>
    </w:p>
    <w:p w14:paraId="77D663C9" w14:textId="77777777" w:rsidR="00242B78" w:rsidRDefault="00242B78">
      <w:pPr>
        <w:pStyle w:val="ListParagraph"/>
        <w:ind w:left="0"/>
        <w:rPr>
          <w:rFonts w:asciiTheme="majorHAnsi" w:hAnsiTheme="majorHAnsi" w:cs="Times New Roman"/>
          <w:b/>
          <w:sz w:val="20"/>
          <w:szCs w:val="20"/>
          <w:lang w:val="bg-BG"/>
        </w:rPr>
      </w:pPr>
    </w:p>
    <w:p w14:paraId="1A91701D" w14:textId="77777777" w:rsidR="00E87DA1" w:rsidRDefault="00E87DA1">
      <w:pPr>
        <w:pStyle w:val="ListParagraph"/>
        <w:ind w:left="0"/>
        <w:rPr>
          <w:rFonts w:asciiTheme="majorHAnsi" w:hAnsiTheme="majorHAnsi" w:cs="Times New Roman"/>
          <w:b/>
          <w:sz w:val="20"/>
          <w:szCs w:val="20"/>
          <w:lang w:val="bg-BG"/>
        </w:rPr>
      </w:pPr>
    </w:p>
    <w:p w14:paraId="6CBE972D" w14:textId="77777777" w:rsidR="00E87DA1" w:rsidRDefault="00E87DA1">
      <w:pPr>
        <w:pStyle w:val="ListParagraph"/>
        <w:ind w:left="0"/>
        <w:rPr>
          <w:rFonts w:asciiTheme="majorHAnsi" w:hAnsiTheme="majorHAnsi" w:cs="Times New Roman"/>
          <w:b/>
          <w:sz w:val="20"/>
          <w:szCs w:val="20"/>
          <w:lang w:val="bg-BG"/>
        </w:rPr>
      </w:pPr>
    </w:p>
    <w:p w14:paraId="20A66267" w14:textId="77777777" w:rsidR="009E133D" w:rsidRDefault="009E133D">
      <w:pPr>
        <w:pStyle w:val="ListParagraph"/>
        <w:ind w:left="0"/>
        <w:rPr>
          <w:rFonts w:asciiTheme="majorHAnsi" w:hAnsiTheme="majorHAnsi" w:cs="Times New Roman"/>
          <w:b/>
          <w:sz w:val="20"/>
          <w:szCs w:val="20"/>
          <w:lang w:val="bg-BG"/>
        </w:rPr>
      </w:pPr>
    </w:p>
    <w:p w14:paraId="3A75D796" w14:textId="77777777" w:rsidR="009E133D" w:rsidRDefault="009E133D">
      <w:pPr>
        <w:pStyle w:val="ListParagraph"/>
        <w:ind w:left="0"/>
        <w:rPr>
          <w:rFonts w:asciiTheme="majorHAnsi" w:hAnsiTheme="majorHAnsi" w:cs="Times New Roman"/>
          <w:b/>
          <w:sz w:val="20"/>
          <w:szCs w:val="20"/>
          <w:lang w:val="bg-BG"/>
        </w:rPr>
      </w:pPr>
    </w:p>
    <w:p w14:paraId="2E750C2C" w14:textId="77777777" w:rsidR="009E133D" w:rsidRDefault="009E133D">
      <w:pPr>
        <w:pStyle w:val="ListParagraph"/>
        <w:ind w:left="0"/>
        <w:rPr>
          <w:rFonts w:asciiTheme="majorHAnsi" w:hAnsiTheme="majorHAnsi" w:cs="Times New Roman"/>
          <w:b/>
          <w:sz w:val="20"/>
          <w:szCs w:val="20"/>
          <w:lang w:val="bg-BG"/>
        </w:rPr>
      </w:pPr>
    </w:p>
    <w:p w14:paraId="55CA2AA1" w14:textId="77777777" w:rsidR="00FA3C7C" w:rsidRDefault="00FA3C7C">
      <w:pPr>
        <w:pStyle w:val="ListParagraph"/>
        <w:ind w:left="0"/>
        <w:rPr>
          <w:rFonts w:asciiTheme="majorHAnsi" w:hAnsiTheme="majorHAnsi" w:cs="Times New Roman"/>
          <w:b/>
          <w:sz w:val="20"/>
          <w:szCs w:val="20"/>
          <w:lang w:val="bg-BG"/>
        </w:rPr>
      </w:pPr>
    </w:p>
    <w:p w14:paraId="082A377A" w14:textId="77777777" w:rsidR="00AC6968" w:rsidRDefault="00AC6968">
      <w:pPr>
        <w:pStyle w:val="ListParagraph"/>
        <w:ind w:left="0"/>
        <w:rPr>
          <w:rFonts w:asciiTheme="majorHAnsi" w:hAnsiTheme="majorHAnsi" w:cs="Times New Roman"/>
          <w:b/>
          <w:sz w:val="20"/>
          <w:szCs w:val="20"/>
          <w:lang w:val="bg-BG"/>
        </w:rPr>
      </w:pPr>
    </w:p>
    <w:p w14:paraId="569EFA51" w14:textId="77777777" w:rsidR="00AC6968" w:rsidRDefault="00A043F7">
      <w:pPr>
        <w:pStyle w:val="ListParagraph"/>
        <w:ind w:left="0"/>
        <w:rPr>
          <w:rFonts w:asciiTheme="majorHAnsi" w:hAnsiTheme="majorHAnsi"/>
          <w:b/>
          <w:sz w:val="20"/>
          <w:szCs w:val="20"/>
          <w:lang w:val="bg-BG"/>
        </w:rPr>
      </w:pPr>
      <w:r>
        <w:rPr>
          <w:rFonts w:asciiTheme="majorHAnsi" w:hAnsiTheme="majorHAnsi" w:cs="Times New Roman"/>
          <w:b/>
          <w:sz w:val="20"/>
          <w:szCs w:val="20"/>
          <w:lang w:val="bg-BG"/>
        </w:rPr>
        <w:t>СЧЕТОВОДНИ ПОЛИТИКИ</w:t>
      </w:r>
    </w:p>
    <w:p w14:paraId="2BF5DBB4" w14:textId="77777777" w:rsidR="00AC6968" w:rsidRDefault="00AC6968">
      <w:pPr>
        <w:rPr>
          <w:rFonts w:asciiTheme="majorHAnsi" w:hAnsiTheme="majorHAnsi"/>
          <w:b/>
          <w:sz w:val="20"/>
          <w:szCs w:val="20"/>
        </w:rPr>
      </w:pPr>
    </w:p>
    <w:p w14:paraId="11FA5FE9"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Изразяване за съответствие</w:t>
      </w:r>
    </w:p>
    <w:p w14:paraId="4D3E271D"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Финансовите отчети са изготвени в съответствие с Международните стандарти за финансово отчитане (МСФО), приети от ЕС, общоприето наименование на счетоводната база, дефинирана в т. 8 на ТР на Закона за счетоводството под наименование „Международни счетоводни стандарти“.</w:t>
      </w:r>
    </w:p>
    <w:p w14:paraId="646F69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Оповестените по-долу счетоводни политики са прилагани последователно през всички периоди, представени в този финансов отчет. </w:t>
      </w:r>
    </w:p>
    <w:p w14:paraId="2132887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Годишният финансов отчет е индивидуален. Дружеството не изготвя консолидиран отчет. При изготвянето на отчета и в съответствие с одобрената счетоводна политика дружеството е приложило следните принципи: честно представяне и съответствие с МСФО, текущо начисляване, последователност на представянето,  същественост и обобщаване, </w:t>
      </w:r>
      <w:proofErr w:type="spellStart"/>
      <w:r>
        <w:rPr>
          <w:rFonts w:asciiTheme="majorHAnsi" w:hAnsiTheme="majorHAnsi"/>
          <w:sz w:val="20"/>
          <w:szCs w:val="20"/>
          <w:lang w:val="bg-BG"/>
        </w:rPr>
        <w:t>некомпенсиране</w:t>
      </w:r>
      <w:proofErr w:type="spellEnd"/>
      <w:r>
        <w:rPr>
          <w:rFonts w:asciiTheme="majorHAnsi" w:hAnsiTheme="majorHAnsi"/>
          <w:sz w:val="20"/>
          <w:szCs w:val="20"/>
          <w:lang w:val="bg-BG"/>
        </w:rPr>
        <w:t xml:space="preserve"> на активи и пасиви, освен ако такова се изисква или разрешава от стандарт, сравнителна информация.  В пояснителните приложения е оповестена информация в допълнение към представената в годишния отчет в съответствие с новите актуални изисквания за оповестяване.</w:t>
      </w:r>
    </w:p>
    <w:p w14:paraId="2AAA296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База за оценяване  </w:t>
      </w:r>
    </w:p>
    <w:p w14:paraId="5D041F86" w14:textId="77777777" w:rsidR="00AC6968" w:rsidRDefault="00A043F7">
      <w:pPr>
        <w:pStyle w:val="ListParagraph"/>
        <w:ind w:left="0"/>
        <w:rPr>
          <w:rFonts w:asciiTheme="majorHAnsi" w:hAnsiTheme="majorHAnsi"/>
          <w:sz w:val="20"/>
          <w:szCs w:val="20"/>
          <w:lang w:val="bg-BG"/>
        </w:rPr>
      </w:pPr>
      <w:r>
        <w:rPr>
          <w:rFonts w:asciiTheme="majorHAnsi" w:hAnsiTheme="majorHAnsi"/>
          <w:sz w:val="20"/>
          <w:szCs w:val="20"/>
          <w:lang w:val="bg-BG"/>
        </w:rPr>
        <w:t xml:space="preserve">Този финансов отчет е изготвен на базата на историческата стойност, модифициран в отделни случаи с преоценката на някои активи и пасиви по тяхната справедлива стойност, като това се упоменава, когато се прави. </w:t>
      </w:r>
    </w:p>
    <w:p w14:paraId="023A4B39" w14:textId="77777777" w:rsidR="00AC6968" w:rsidRDefault="00AC6968">
      <w:pPr>
        <w:pStyle w:val="ListParagraph"/>
        <w:ind w:left="0"/>
        <w:rPr>
          <w:rFonts w:asciiTheme="majorHAnsi" w:hAnsiTheme="majorHAnsi"/>
          <w:sz w:val="20"/>
          <w:szCs w:val="20"/>
          <w:lang w:val="bg-BG"/>
        </w:rPr>
      </w:pPr>
    </w:p>
    <w:p w14:paraId="116480A2"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Действащо предприятие</w:t>
      </w:r>
    </w:p>
    <w:p w14:paraId="57A77FC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Финансовият отчет е съставен при спазване на принципа на действащо предприятие. 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w:t>
      </w:r>
    </w:p>
    <w:p w14:paraId="4FDEA7C0"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 xml:space="preserve">Корекции и </w:t>
      </w:r>
      <w:proofErr w:type="spellStart"/>
      <w:r>
        <w:rPr>
          <w:rFonts w:asciiTheme="majorHAnsi" w:hAnsiTheme="majorHAnsi"/>
          <w:sz w:val="20"/>
          <w:szCs w:val="20"/>
          <w:lang w:val="bg-BG"/>
        </w:rPr>
        <w:t>рекласификации</w:t>
      </w:r>
      <w:proofErr w:type="spellEnd"/>
    </w:p>
    <w:p w14:paraId="2BD64725" w14:textId="69EFBCD5"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представя сравнителна информация във финансовите си отчети за една предходна година. Когато е необходимо, сравнителните данни се </w:t>
      </w:r>
      <w:proofErr w:type="spellStart"/>
      <w:r>
        <w:rPr>
          <w:rFonts w:asciiTheme="majorHAnsi" w:hAnsiTheme="majorHAnsi"/>
          <w:sz w:val="20"/>
          <w:szCs w:val="20"/>
          <w:lang w:val="bg-BG"/>
        </w:rPr>
        <w:t>рекласифицират</w:t>
      </w:r>
      <w:proofErr w:type="spellEnd"/>
      <w:r>
        <w:rPr>
          <w:rFonts w:asciiTheme="majorHAnsi" w:hAnsiTheme="majorHAnsi"/>
          <w:sz w:val="20"/>
          <w:szCs w:val="20"/>
          <w:lang w:val="bg-BG"/>
        </w:rPr>
        <w:t xml:space="preserve">, за да се постигне съпоставимост спрямо промени в представянето в текущия период. </w:t>
      </w:r>
    </w:p>
    <w:p w14:paraId="56741A7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Функционална валута и валута на представяне</w:t>
      </w:r>
    </w:p>
    <w:p w14:paraId="3F289176"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Финансовият отчет е представен в български лева (</w:t>
      </w:r>
      <w:r>
        <w:rPr>
          <w:rFonts w:asciiTheme="majorHAnsi" w:hAnsiTheme="majorHAnsi"/>
          <w:sz w:val="20"/>
          <w:szCs w:val="20"/>
        </w:rPr>
        <w:t>BGN</w:t>
      </w:r>
      <w:r>
        <w:rPr>
          <w:rFonts w:asciiTheme="majorHAnsi" w:hAnsiTheme="majorHAnsi"/>
          <w:sz w:val="20"/>
          <w:szCs w:val="20"/>
          <w:lang w:val="bg-BG"/>
        </w:rPr>
        <w:t xml:space="preserve">), която е функционална валута на Дружеството. Цялата финансова информация, представена в лева, е закръглена до хиляда. </w:t>
      </w:r>
    </w:p>
    <w:p w14:paraId="12613F3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Чуждестранни валути</w:t>
      </w:r>
    </w:p>
    <w:p w14:paraId="37C34201" w14:textId="7E7BAED9"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изготвянето на финансовите отчети сделките във валута, различна от функционалната валута на дружеството (чуждестранни валути) са признати по обменните курсове, на датите на транзакциите. В края на всеки отчетен период, паричните позиции, деноминирани в чуждестранни валути, се конвертират по централния курс на БНБ за тази дата. От 1 януари 1999 година българският лев е фиксиран с курс 1,95583 към еврото. </w:t>
      </w:r>
    </w:p>
    <w:p w14:paraId="58C7E11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lastRenderedPageBreak/>
        <w:t>Признаване на приходи</w:t>
      </w:r>
    </w:p>
    <w:p w14:paraId="071379E4" w14:textId="77777777" w:rsidR="00AC6968" w:rsidRDefault="00A043F7">
      <w:pPr>
        <w:rPr>
          <w:rFonts w:asciiTheme="majorHAnsi" w:hAnsiTheme="majorHAnsi"/>
          <w:sz w:val="20"/>
          <w:szCs w:val="20"/>
          <w:lang w:val="bg-BG"/>
        </w:rPr>
      </w:pPr>
      <w:r>
        <w:rPr>
          <w:rFonts w:asciiTheme="majorHAnsi" w:hAnsiTheme="majorHAnsi"/>
          <w:sz w:val="20"/>
          <w:szCs w:val="20"/>
          <w:lang w:val="bg-BG"/>
        </w:rPr>
        <w:t>Приходите се признават на база принципа на начисляване и до степен, до която стопанските изгоди се придобиват от дружеството и доколкото приходите могат да се оценят надеждно. Приходите се оценяват по справедливата стойност на полученото възнаграждение, намалени с отстъпки и данъци върху продажбите. Приходите от продажби на услуги – наеми се начисляват в момента на тяхното възникване, независимо от паричните постъпления. Приходите от продажби на имоти се признават, когато:</w:t>
      </w:r>
    </w:p>
    <w:p w14:paraId="1137D255"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е прехвърлило на купувача значителните рискове и ползи, произтичащи от собствеността върху имотите;</w:t>
      </w:r>
    </w:p>
    <w:p w14:paraId="258CCAB1"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не запазва нито продължаващо участие в управлението, до степента, която обикновено се свързва с правото на собственост, нито ефективен контрол върху продадения актив;</w:t>
      </w:r>
    </w:p>
    <w:p w14:paraId="2548AA8A"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сумата на приходите може да бъде надеждно измерена;</w:t>
      </w:r>
    </w:p>
    <w:p w14:paraId="6FC3397C"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когато е вероятно, че икономическите ползи, свързани със сделката ще се влеят в дружеството, както и направените разходи по сделката, или тези, които предстои да бъдат направени, могат да бъдат надеждно измерени.</w:t>
      </w:r>
    </w:p>
    <w:p w14:paraId="2F81439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Приходите от продажба на имоти се признават по справедлива стойност на полученото възнаграждение или възнаграждението, което се очаква да бъде получено. Приход от продажба на стоки – имоти се признава в отчета за печалбата или загубата и другия всеобхватен доход след ефективна продажба с нотариален акт. Отчетната стойност на продажбите се формира от разходи, които са директно свързани с изграждането на продадените през годината имоти, като разходи за проектантски и архитектурни работи, строително-монтажни работи, разходи за персонал и разходи по обслужването на целеви банков кредит във връзка със строителството – банкови лихви и такси. </w:t>
      </w:r>
    </w:p>
    <w:p w14:paraId="0D0A769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Разходи</w:t>
      </w:r>
    </w:p>
    <w:p w14:paraId="6574089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се признават в момента на тяхното възникване и на база принципите на начисляване и съпоставимост. Оценяват се по справедлива стойност на платеното или подлежащо за получаване. Финансовите разходи включват начисления за лихви по заеми и лихви по държавни вземания, загуби от операции в чуждестранна валута, други банкови такси и комисионни. </w:t>
      </w:r>
    </w:p>
    <w:p w14:paraId="2F7AA0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по заеми, които могат пряко да се припишат на придобиването или строителството на актив, отговарящ на условията на МСС 23 Разходи по заеми, се капитализират в стойността на актива като част от неговата себестойност. Другите разходи по заеми се признават като разход в периода, за който се отнасят </w:t>
      </w:r>
    </w:p>
    <w:p w14:paraId="0E6F6D8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Доходи на персонала</w:t>
      </w:r>
    </w:p>
    <w:p w14:paraId="63C91E51" w14:textId="77777777" w:rsidR="00AC6968" w:rsidRDefault="00A043F7">
      <w:pPr>
        <w:rPr>
          <w:rFonts w:asciiTheme="majorHAnsi" w:hAnsiTheme="majorHAnsi"/>
          <w:sz w:val="20"/>
          <w:szCs w:val="20"/>
          <w:lang w:val="bg-BG"/>
        </w:rPr>
      </w:pPr>
      <w:r>
        <w:rPr>
          <w:rFonts w:asciiTheme="majorHAnsi" w:hAnsiTheme="majorHAnsi"/>
          <w:sz w:val="20"/>
          <w:szCs w:val="20"/>
          <w:lang w:val="bg-BG"/>
        </w:rPr>
        <w:t>Трудовите и осигурителните отношения с работниците и служителите в дружеството се основават на разпоредбите на Кодекса на труда и действащото осигурително законодателство. Пенсионните и осигурителни планове, в които дружеството е страна в качеството му на работодател, се основават на българското законодателство.</w:t>
      </w:r>
    </w:p>
    <w:p w14:paraId="359D0090"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2.7.1 Краткосрочни доходи на персонала </w:t>
      </w:r>
    </w:p>
    <w:p w14:paraId="632B66CF"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Краткосрочните доходи на персонала включват заплати и възнаграждения, платен годишен отпуск и платен отпуск по болест, платими до една година от отчетната дата. Задължения за краткосрочни доходи на наети лица се отчитат като разход, когато свързаните с тях услуги са предоставени. Към датата на годишния финансов отчет, дружеството прави оценка на очакваните разходи по натрупващи се </w:t>
      </w:r>
      <w:proofErr w:type="spellStart"/>
      <w:r>
        <w:rPr>
          <w:rFonts w:asciiTheme="majorHAnsi" w:hAnsiTheme="majorHAnsi"/>
          <w:sz w:val="20"/>
          <w:szCs w:val="20"/>
          <w:lang w:val="bg-BG"/>
        </w:rPr>
        <w:t>компенсируеми</w:t>
      </w:r>
      <w:proofErr w:type="spellEnd"/>
      <w:r>
        <w:rPr>
          <w:rFonts w:asciiTheme="majorHAnsi" w:hAnsiTheme="majorHAnsi"/>
          <w:sz w:val="20"/>
          <w:szCs w:val="20"/>
          <w:lang w:val="bg-BG"/>
        </w:rPr>
        <w:t xml:space="preserve"> отпуски, които не са били използвани и които се очаква да бъдат </w:t>
      </w:r>
      <w:r>
        <w:rPr>
          <w:rFonts w:asciiTheme="majorHAnsi" w:hAnsiTheme="majorHAnsi"/>
          <w:sz w:val="20"/>
          <w:szCs w:val="20"/>
          <w:lang w:val="bg-BG"/>
        </w:rPr>
        <w:lastRenderedPageBreak/>
        <w:t xml:space="preserve">изплатени. Оценката включва преценка за разходите за възнаграждения и разходите за вноски по задължително обществено и здравно осигуряване.  </w:t>
      </w:r>
    </w:p>
    <w:p w14:paraId="1313EC84" w14:textId="77777777" w:rsidR="00AC6968" w:rsidRDefault="00A043F7">
      <w:pPr>
        <w:rPr>
          <w:rFonts w:asciiTheme="majorHAnsi" w:hAnsiTheme="majorHAnsi"/>
          <w:sz w:val="20"/>
          <w:szCs w:val="20"/>
          <w:lang w:val="bg-BG"/>
        </w:rPr>
      </w:pPr>
      <w:r>
        <w:rPr>
          <w:rFonts w:asciiTheme="majorHAnsi" w:hAnsiTheme="majorHAnsi"/>
          <w:sz w:val="20"/>
          <w:szCs w:val="20"/>
          <w:lang w:val="bg-BG"/>
        </w:rPr>
        <w:t>2.7.2 Планове с дефинирани вноски</w:t>
      </w:r>
    </w:p>
    <w:p w14:paraId="7E654B3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в качеството на работодател, извършва задължително осигуряване на наетия персонал за фонд „Пенсии“ и други осигурителни фондове. Размерите на осигурителните вноски се утвърждават ежегодно със Закона за държавния бюджет и Закона за бюджета на НЗОК. Тези осигурителни пенсионни вноски, извършвани от дружеството, в качеството му на работодател по своята същност са дефинирани вноски. </w:t>
      </w:r>
    </w:p>
    <w:p w14:paraId="0F03267E" w14:textId="77777777" w:rsidR="00AC6968" w:rsidRDefault="00A043F7">
      <w:pPr>
        <w:rPr>
          <w:rFonts w:asciiTheme="majorHAnsi" w:hAnsiTheme="majorHAnsi"/>
          <w:sz w:val="20"/>
          <w:szCs w:val="20"/>
          <w:lang w:val="bg-BG"/>
        </w:rPr>
      </w:pPr>
      <w:r>
        <w:rPr>
          <w:rFonts w:asciiTheme="majorHAnsi" w:hAnsiTheme="majorHAnsi"/>
          <w:sz w:val="20"/>
          <w:szCs w:val="20"/>
          <w:lang w:val="bg-BG"/>
        </w:rPr>
        <w:t>2.7.3. Доходи след приключване на трудовите правоотношения</w:t>
      </w:r>
    </w:p>
    <w:p w14:paraId="06E87B8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има задължения за изплащане на доход при напускане на тези свои служители, които се пенсионират в съответствие с изискванията на чл. 222, § 3 от Кодекса на труда в България. </w:t>
      </w:r>
    </w:p>
    <w:p w14:paraId="1FD7B60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Данъци върху дохода</w:t>
      </w:r>
    </w:p>
    <w:p w14:paraId="316EBEB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Съгласно закона за корпоративното подоходно облагане дружеството дължи корпоративен данък в размер 10 % върху облагаемата печалба. Отчетния период дружеството приключва с данъчна загуба и не дължи корпоративен данък. </w:t>
      </w:r>
    </w:p>
    <w:p w14:paraId="0096AD8D"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е приело да прилага балансовия метод на задълженията за отчитане на временните данъчни разлики, при който временните данъчни разлики се установяват чрез сравняване на балансовата стойност с данъчната основа на активите и пасивите. Отсрочените данъчни задължения да се признават при всички случаи на възникване, а отсрочените данъчни активи, само до степента, до която ръководството счита, че е сигурно, че дружеството ще реализира печалба, за да използва данъчния актив.</w:t>
      </w:r>
    </w:p>
    <w:p w14:paraId="2F8CA981"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Нетна печалба на акция </w:t>
      </w:r>
    </w:p>
    <w:p w14:paraId="424F84F1"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изчислява основната нетна печалба на акция, съответстваща на печалбата или загубата, подлежащи на разпределение между притежателите на обикновени акции. Основната нетна печалба на акция се изчислява като се раздели печалбата или загубата за периода, подлежаща на разпределение между притежателите на акции (числител) на средно претегления брой на държаните обикновени акции за периода (знаменател).</w:t>
      </w:r>
    </w:p>
    <w:p w14:paraId="7FABF70A" w14:textId="77777777" w:rsidR="00AC6968" w:rsidRDefault="00AC6968">
      <w:pPr>
        <w:rPr>
          <w:rFonts w:asciiTheme="majorHAnsi" w:hAnsiTheme="majorHAnsi"/>
          <w:sz w:val="20"/>
          <w:szCs w:val="20"/>
          <w:lang w:val="bg-BG"/>
        </w:rPr>
      </w:pPr>
    </w:p>
    <w:p w14:paraId="033128E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Имоти, машини и съоръжения</w:t>
      </w:r>
    </w:p>
    <w:p w14:paraId="0FFBF4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Наличните нетекущи активи на дружеството – имоти, съоръжения, оборудване и инвентар се отчитат и представят във финансовия отчет по цена на придобиване, намалена  с натрупаната амортизация. </w:t>
      </w:r>
    </w:p>
    <w:p w14:paraId="4FD8E108" w14:textId="77777777" w:rsidR="00AC6968" w:rsidRDefault="00A043F7">
      <w:pPr>
        <w:rPr>
          <w:rFonts w:asciiTheme="majorHAnsi" w:hAnsiTheme="majorHAnsi"/>
          <w:sz w:val="20"/>
          <w:szCs w:val="20"/>
          <w:lang w:val="bg-BG"/>
        </w:rPr>
      </w:pPr>
      <w:r>
        <w:rPr>
          <w:rFonts w:asciiTheme="majorHAnsi" w:hAnsiTheme="majorHAnsi"/>
          <w:sz w:val="20"/>
          <w:szCs w:val="20"/>
          <w:lang w:val="bg-BG"/>
        </w:rPr>
        <w:t>Първоначално придобиване</w:t>
      </w:r>
    </w:p>
    <w:p w14:paraId="4E3DC85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първоначално придобиване имотите, машините, съоръженията и оборудването се оценяват по себестойност, която включва покупната цена, такси, лихви по банкови заеми и всички други преки разходи, необходими за привеждането на актива в състояние за употреба по предназначение. </w:t>
      </w:r>
    </w:p>
    <w:p w14:paraId="333AD884"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Други преки разходи включват: разходи за подготовка на обекта, разходи по първоначална доставка и обработка, разходи за монтаж, разходи за хонорари на лица, свързани с проекта, невъзстановими данъци и други.</w:t>
      </w:r>
    </w:p>
    <w:p w14:paraId="73911AEA"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 xml:space="preserve">Дружеството е определило стойностен праг от 700 лева, под който придобитите активи, независимо че притежават характеристики на дълготрайни материални активи, се отчитат като текущ разход. </w:t>
      </w:r>
    </w:p>
    <w:p w14:paraId="20C2707B"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Последващо оценяване</w:t>
      </w:r>
    </w:p>
    <w:p w14:paraId="5E61E0B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Избраният от дружеството подход за последваща оценка на имотите, машините, съоръженията и оборудването се извършва по модела на цената на придобиване, намалена с начислените амортизации и натрупаните загуби от обезценка съгласно изискванията на МСС 16 Имоти, машини и съоръжения. </w:t>
      </w:r>
    </w:p>
    <w:p w14:paraId="6BF5E77A"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Последващи разходи</w:t>
      </w:r>
    </w:p>
    <w:p w14:paraId="53BE12D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Извършените последващи разходи, свързани с имоти, машини, съоръжения и оборудване, които имат характер на подобрения и реконструкция се капитализират към стойността на съответния актив. </w:t>
      </w:r>
    </w:p>
    <w:p w14:paraId="3DE625D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w:t>
      </w:r>
    </w:p>
    <w:p w14:paraId="414576A0" w14:textId="4C629F07" w:rsidR="00AC6968" w:rsidRDefault="00A043F7">
      <w:pPr>
        <w:rPr>
          <w:rFonts w:asciiTheme="majorHAnsi" w:hAnsiTheme="majorHAnsi"/>
          <w:sz w:val="20"/>
          <w:szCs w:val="20"/>
          <w:lang w:val="bg-BG"/>
        </w:rPr>
      </w:pPr>
      <w:r>
        <w:rPr>
          <w:rFonts w:asciiTheme="majorHAnsi" w:hAnsiTheme="majorHAnsi"/>
          <w:sz w:val="20"/>
          <w:szCs w:val="20"/>
          <w:lang w:val="bg-BG"/>
        </w:rPr>
        <w:t>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съоръжения и оборудване. Очакваният полезен живот на имоти, машини, съоръжения и оборудване и стопански инвентар е както следва:</w:t>
      </w:r>
    </w:p>
    <w:p w14:paraId="20E4BEB4" w14:textId="77777777" w:rsidR="00AC6968" w:rsidRDefault="00A043F7">
      <w:pPr>
        <w:rPr>
          <w:rFonts w:asciiTheme="majorHAnsi" w:hAnsiTheme="majorHAnsi"/>
          <w:sz w:val="20"/>
          <w:szCs w:val="20"/>
          <w:lang w:val="bg-BG"/>
        </w:rPr>
      </w:pPr>
      <w:r>
        <w:rPr>
          <w:rFonts w:asciiTheme="majorHAnsi" w:hAnsiTheme="majorHAnsi"/>
          <w:sz w:val="20"/>
          <w:szCs w:val="20"/>
          <w:lang w:val="bg-BG"/>
        </w:rPr>
        <w:t>Компютърна техника – 2 години</w:t>
      </w:r>
    </w:p>
    <w:p w14:paraId="0274CC6C" w14:textId="77777777" w:rsidR="00AC6968" w:rsidRDefault="00A043F7">
      <w:pPr>
        <w:rPr>
          <w:rFonts w:asciiTheme="majorHAnsi" w:hAnsiTheme="majorHAnsi"/>
          <w:sz w:val="20"/>
          <w:szCs w:val="20"/>
          <w:lang w:val="bg-BG"/>
        </w:rPr>
      </w:pPr>
      <w:r>
        <w:rPr>
          <w:rFonts w:asciiTheme="majorHAnsi" w:hAnsiTheme="majorHAnsi"/>
          <w:sz w:val="20"/>
          <w:szCs w:val="20"/>
          <w:lang w:val="bg-BG"/>
        </w:rPr>
        <w:t>Машини и оборудване – 3 години</w:t>
      </w:r>
    </w:p>
    <w:p w14:paraId="55D2F438" w14:textId="77777777" w:rsidR="00AC6968" w:rsidRDefault="00A043F7">
      <w:pPr>
        <w:rPr>
          <w:rFonts w:asciiTheme="majorHAnsi" w:hAnsiTheme="majorHAnsi"/>
          <w:sz w:val="20"/>
          <w:szCs w:val="20"/>
          <w:lang w:val="bg-BG"/>
        </w:rPr>
      </w:pPr>
      <w:r>
        <w:rPr>
          <w:rFonts w:asciiTheme="majorHAnsi" w:hAnsiTheme="majorHAnsi"/>
          <w:sz w:val="20"/>
          <w:szCs w:val="20"/>
          <w:lang w:val="bg-BG"/>
        </w:rPr>
        <w:t>Стопански инвентар и други активи – 7 години</w:t>
      </w:r>
    </w:p>
    <w:p w14:paraId="18EFEFE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Инвестиционни имоти</w:t>
      </w:r>
    </w:p>
    <w:p w14:paraId="47D3161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инвестиционни имоти, съгласно МСС 40. Инвестиционни са имотите, държани за получаване на приходи от наеми или за увеличаване стойността на капитала, или и за двете. Инвестиционните имоти се оценяват първоначално по цена на придобиване, включително разходите по сделката. Разходите за подмяна на части от инвестиционен имот се включват в неговата балансова стойност когато тези разходи бъдат извършени и при условие, че отговарят на критериите за признаване на инвестиционен имот. </w:t>
      </w:r>
    </w:p>
    <w:p w14:paraId="08030111" w14:textId="77777777" w:rsidR="00AC6968" w:rsidRDefault="00A043F7">
      <w:pPr>
        <w:rPr>
          <w:rFonts w:asciiTheme="majorHAnsi" w:hAnsiTheme="majorHAnsi"/>
          <w:sz w:val="20"/>
          <w:szCs w:val="20"/>
          <w:lang w:val="bg-BG"/>
        </w:rPr>
      </w:pPr>
      <w:r>
        <w:rPr>
          <w:rFonts w:asciiTheme="majorHAnsi" w:hAnsiTheme="majorHAnsi"/>
          <w:sz w:val="20"/>
          <w:szCs w:val="20"/>
          <w:lang w:val="bg-BG"/>
        </w:rPr>
        <w:t>След първоначалното признаване инвестиционните имоти се отчитат по цена на придобиване минус натрупаната амортизация и натрупаните загуби от обезценка в съответствие с изискванията на МСС 16.</w:t>
      </w:r>
    </w:p>
    <w:p w14:paraId="764CB00E"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прилага линеен метод на амортизация за своите инвестиционни имоти. Ръководството на дружеството е определило очакван полезен срок за използване на инвестиционните си имоти. </w:t>
      </w:r>
    </w:p>
    <w:p w14:paraId="770B02D7" w14:textId="77777777" w:rsidR="00AC6968" w:rsidRDefault="00AC6968">
      <w:pPr>
        <w:rPr>
          <w:rFonts w:asciiTheme="majorHAnsi" w:hAnsiTheme="majorHAnsi"/>
          <w:sz w:val="20"/>
          <w:szCs w:val="20"/>
          <w:highlight w:val="yellow"/>
          <w:lang w:val="bg-BG"/>
        </w:rPr>
      </w:pPr>
    </w:p>
    <w:p w14:paraId="7C78F8C0"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Активи в процес на изграждане</w:t>
      </w:r>
    </w:p>
    <w:p w14:paraId="47EBC7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като активи в процес на изграждане направените разходи по привеждането на даден актив в състояние, готов за експлоатация или продажба. Капитализираните разходи включват административни такси за получаване на разрешения, строително-монтажни работи, проектиране, архитектурни и строителни планове, лихви по целеви банкови заеми и всички други преки разходи. </w:t>
      </w:r>
      <w:r>
        <w:rPr>
          <w:rFonts w:asciiTheme="majorHAnsi" w:hAnsiTheme="majorHAnsi"/>
          <w:sz w:val="20"/>
          <w:szCs w:val="20"/>
          <w:lang w:val="bg-BG"/>
        </w:rPr>
        <w:lastRenderedPageBreak/>
        <w:t xml:space="preserve">Активите в процес на изграждане се класифицират като нетекущи активи. При въвеждането им в експлоатация се </w:t>
      </w:r>
      <w:proofErr w:type="spellStart"/>
      <w:r>
        <w:rPr>
          <w:rFonts w:asciiTheme="majorHAnsi" w:hAnsiTheme="majorHAnsi"/>
          <w:sz w:val="20"/>
          <w:szCs w:val="20"/>
          <w:lang w:val="bg-BG"/>
        </w:rPr>
        <w:t>рекласифицират</w:t>
      </w:r>
      <w:proofErr w:type="spellEnd"/>
      <w:r>
        <w:rPr>
          <w:rFonts w:asciiTheme="majorHAnsi" w:hAnsiTheme="majorHAnsi"/>
          <w:sz w:val="20"/>
          <w:szCs w:val="20"/>
          <w:lang w:val="bg-BG"/>
        </w:rPr>
        <w:t xml:space="preserve"> като материални запаси – стоки за продажба. </w:t>
      </w:r>
    </w:p>
    <w:p w14:paraId="3B4A9272" w14:textId="77777777" w:rsidR="00AC6968" w:rsidRDefault="00A043F7">
      <w:pPr>
        <w:rPr>
          <w:rFonts w:asciiTheme="majorHAnsi" w:hAnsiTheme="majorHAnsi"/>
          <w:sz w:val="20"/>
          <w:szCs w:val="20"/>
          <w:lang w:val="bg-BG"/>
        </w:rPr>
      </w:pPr>
      <w:r>
        <w:rPr>
          <w:rFonts w:asciiTheme="majorHAnsi" w:hAnsiTheme="majorHAnsi"/>
          <w:sz w:val="20"/>
          <w:szCs w:val="20"/>
          <w:lang w:val="bg-BG"/>
        </w:rPr>
        <w:t>Обезценка на активи</w:t>
      </w:r>
    </w:p>
    <w:p w14:paraId="36E0EA58" w14:textId="77777777" w:rsidR="00AC6968" w:rsidRDefault="00A043F7">
      <w:pPr>
        <w:rPr>
          <w:rFonts w:asciiTheme="majorHAnsi" w:hAnsiTheme="majorHAnsi"/>
          <w:sz w:val="20"/>
          <w:szCs w:val="20"/>
          <w:lang w:val="bg-BG"/>
        </w:rPr>
      </w:pPr>
      <w:r>
        <w:rPr>
          <w:rFonts w:asciiTheme="majorHAnsi" w:hAnsiTheme="majorHAnsi"/>
          <w:sz w:val="20"/>
          <w:szCs w:val="20"/>
          <w:lang w:val="bg-BG"/>
        </w:rPr>
        <w:t>В края на всеки отчетен период дружеството прави преглед на балансовите стойности на материалните, за да определи дали има някаква индикация, че за тези активи е налице загуба от обезценка. В случай, че такива индикации са налице предприятието прави формална оценка възстановимата стойност на актива, вземайки предвид външни и вътрешни източници на информация, за да се определи степента на загуба от обезценката.</w:t>
      </w:r>
    </w:p>
    <w:p w14:paraId="6D8AFE0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Възстановимата сума е по-високата от справедливата стойност, намалена с разходите по продажбата и стойността в употреба. Ако възстановимата стойност на даден актив се очаква да бъде по-малка от неговата балансова стойност, балансовата стойност се намалява до неговата възстановима стойност. Загуба от обезценка се признава незабавно в печалба или загуба, освен ако съответният актив се оценява по преоценена стойност, в който случай забута от обезценка се третира като намаление от преоценка. </w:t>
      </w:r>
    </w:p>
    <w:p w14:paraId="083FEDAC"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Материални запаси</w:t>
      </w:r>
    </w:p>
    <w:p w14:paraId="178D89A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Материалните запаси се представят във финансовия отчет по по-ниската от стойността на придобиване и нетната реализуема стойност. Нетната реализуема стойност е очакваната продажна цена в нормална бизнес среда, намалена със стойността на разходите за довършителни дейности и разходи по продажбата. Определя се на база проучвания на пазара и експертна оценка. Цената на придобиване на материалните запаси включва разходи за придобиване и разходи, направени във връзка с доставянето им до определено местоположение и подготовката има за употреба. Изписването на материални запаси е по метода на конкретна идентификация на себестойността. </w:t>
      </w:r>
    </w:p>
    <w:p w14:paraId="2BE7491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Парични средства и парични еквиваленти</w:t>
      </w:r>
    </w:p>
    <w:p w14:paraId="62EB4394" w14:textId="77777777" w:rsidR="00AC6968" w:rsidRDefault="00A043F7">
      <w:pPr>
        <w:rPr>
          <w:rFonts w:asciiTheme="majorHAnsi" w:hAnsiTheme="majorHAnsi"/>
          <w:sz w:val="20"/>
          <w:szCs w:val="20"/>
          <w:lang w:val="bg-BG"/>
        </w:rPr>
      </w:pPr>
      <w:r>
        <w:rPr>
          <w:rFonts w:asciiTheme="majorHAnsi" w:hAnsiTheme="majorHAnsi"/>
          <w:sz w:val="20"/>
          <w:szCs w:val="20"/>
          <w:lang w:val="bg-BG"/>
        </w:rPr>
        <w:t>Паричните средства и парични еквиваленти се състоят от парични наличности в каса, парични наличности в банкови сметки и краткосрочните депозити в банки. За целите на изготвянето на Отчета за паричните потоци:</w:t>
      </w:r>
    </w:p>
    <w:p w14:paraId="768C7142"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Парични постъпления от клиенти и паричните плащания към доставчици, включително плащания, свързани с имоти, машини и съоръжения, са представени брутно с включен ДДС (20%);</w:t>
      </w:r>
    </w:p>
    <w:p w14:paraId="04E1F1C8"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Плащанията, свързани с местни данъци и такси се представят в оперативната дейност като самостоятелни позиции.</w:t>
      </w:r>
    </w:p>
    <w:p w14:paraId="294F09AC" w14:textId="77777777" w:rsidR="009E133D" w:rsidRPr="009E133D" w:rsidRDefault="009E133D" w:rsidP="009E133D">
      <w:pPr>
        <w:rPr>
          <w:rFonts w:asciiTheme="majorHAnsi" w:hAnsiTheme="majorHAnsi"/>
          <w:sz w:val="20"/>
          <w:szCs w:val="20"/>
          <w:lang w:val="bg-BG"/>
        </w:rPr>
      </w:pPr>
    </w:p>
    <w:p w14:paraId="6C95CD29" w14:textId="77777777" w:rsidR="00AC6968" w:rsidRDefault="00AC6968">
      <w:pPr>
        <w:rPr>
          <w:rFonts w:asciiTheme="majorHAnsi" w:hAnsiTheme="majorHAnsi"/>
          <w:sz w:val="20"/>
          <w:szCs w:val="20"/>
          <w:lang w:val="bg-BG"/>
        </w:rPr>
      </w:pPr>
    </w:p>
    <w:p w14:paraId="49EC8226"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Съставител:................................                                                    Изпълнителен директор:.................................</w:t>
      </w:r>
    </w:p>
    <w:p w14:paraId="1149C725"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ab/>
      </w:r>
      <w:r>
        <w:rPr>
          <w:rFonts w:asciiTheme="majorHAnsi" w:hAnsiTheme="majorHAnsi"/>
          <w:sz w:val="20"/>
          <w:szCs w:val="20"/>
          <w:lang w:val="bg-BG"/>
        </w:rPr>
        <w:tab/>
        <w:t>(</w:t>
      </w:r>
      <w:r>
        <w:rPr>
          <w:rFonts w:asciiTheme="majorHAnsi" w:hAnsiTheme="majorHAnsi"/>
          <w:sz w:val="20"/>
          <w:szCs w:val="20"/>
        </w:rPr>
        <w:t>E</w:t>
      </w:r>
      <w:r>
        <w:rPr>
          <w:rFonts w:asciiTheme="majorHAnsi" w:hAnsiTheme="majorHAnsi"/>
          <w:sz w:val="20"/>
          <w:szCs w:val="20"/>
          <w:lang w:val="bg-BG"/>
        </w:rPr>
        <w:t>лена Георгиева)</w:t>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t xml:space="preserve">(Михаил </w:t>
      </w:r>
      <w:proofErr w:type="spellStart"/>
      <w:r>
        <w:rPr>
          <w:rFonts w:asciiTheme="majorHAnsi" w:hAnsiTheme="majorHAnsi"/>
          <w:sz w:val="20"/>
          <w:szCs w:val="20"/>
          <w:lang w:val="bg-BG"/>
        </w:rPr>
        <w:t>Терианос</w:t>
      </w:r>
      <w:proofErr w:type="spellEnd"/>
      <w:r>
        <w:rPr>
          <w:rFonts w:asciiTheme="majorHAnsi" w:hAnsiTheme="majorHAnsi"/>
          <w:sz w:val="20"/>
          <w:szCs w:val="20"/>
          <w:lang w:val="bg-BG"/>
        </w:rPr>
        <w:t>)</w:t>
      </w:r>
    </w:p>
    <w:p w14:paraId="56699A07" w14:textId="77777777" w:rsidR="00AC6968" w:rsidRDefault="00AC6968">
      <w:pPr>
        <w:rPr>
          <w:rFonts w:asciiTheme="majorHAnsi" w:hAnsiTheme="majorHAnsi"/>
          <w:sz w:val="20"/>
          <w:szCs w:val="20"/>
          <w:lang w:val="bg-BG"/>
        </w:rPr>
      </w:pPr>
    </w:p>
    <w:p w14:paraId="2C46D23D" w14:textId="77777777" w:rsidR="00AC6968" w:rsidRDefault="00AC6968">
      <w:pPr>
        <w:rPr>
          <w:lang w:val="bg-BG"/>
        </w:rPr>
      </w:pPr>
    </w:p>
    <w:sectPr w:rsidR="00AC6968" w:rsidSect="002956FC">
      <w:pgSz w:w="12240" w:h="15840"/>
      <w:pgMar w:top="1440" w:right="1440" w:bottom="993"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F14"/>
    <w:multiLevelType w:val="multilevel"/>
    <w:tmpl w:val="583C89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5033950"/>
    <w:multiLevelType w:val="multilevel"/>
    <w:tmpl w:val="E5407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D40E02"/>
    <w:multiLevelType w:val="multilevel"/>
    <w:tmpl w:val="298E6FD0"/>
    <w:lvl w:ilvl="0">
      <w:start w:val="2"/>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41E7AA1"/>
    <w:multiLevelType w:val="multilevel"/>
    <w:tmpl w:val="9792318E"/>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965454175">
    <w:abstractNumId w:val="3"/>
  </w:num>
  <w:num w:numId="2" w16cid:durableId="147598014">
    <w:abstractNumId w:val="2"/>
  </w:num>
  <w:num w:numId="3" w16cid:durableId="2106029348">
    <w:abstractNumId w:val="0"/>
  </w:num>
  <w:num w:numId="4" w16cid:durableId="77760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68"/>
    <w:rsid w:val="0010717B"/>
    <w:rsid w:val="001F52C2"/>
    <w:rsid w:val="00242B78"/>
    <w:rsid w:val="00292ADA"/>
    <w:rsid w:val="002956FC"/>
    <w:rsid w:val="003E1CB9"/>
    <w:rsid w:val="00540077"/>
    <w:rsid w:val="00596B14"/>
    <w:rsid w:val="005C41FE"/>
    <w:rsid w:val="00603ECD"/>
    <w:rsid w:val="006A5D9D"/>
    <w:rsid w:val="007B7290"/>
    <w:rsid w:val="007C05F7"/>
    <w:rsid w:val="007F59E8"/>
    <w:rsid w:val="00825551"/>
    <w:rsid w:val="008F26B2"/>
    <w:rsid w:val="009149E1"/>
    <w:rsid w:val="009E133D"/>
    <w:rsid w:val="00A043F7"/>
    <w:rsid w:val="00A55057"/>
    <w:rsid w:val="00AA425E"/>
    <w:rsid w:val="00AB5FEB"/>
    <w:rsid w:val="00AC6968"/>
    <w:rsid w:val="00AE4968"/>
    <w:rsid w:val="00C3609E"/>
    <w:rsid w:val="00C43984"/>
    <w:rsid w:val="00C553E9"/>
    <w:rsid w:val="00D43F69"/>
    <w:rsid w:val="00E87C1E"/>
    <w:rsid w:val="00E87DA1"/>
    <w:rsid w:val="00FA3C7C"/>
    <w:rsid w:val="00FA53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E0C8"/>
  <w15:docId w15:val="{6060B36E-C9DF-41DC-80F6-4750AD6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qFormat/>
    <w:rsid w:val="0081302E"/>
    <w:rPr>
      <w:rFonts w:ascii="Times New Roman" w:eastAsia="Times New Roman" w:hAnsi="Times New Roman" w:cs="Times New Roman"/>
      <w:sz w:val="24"/>
      <w:szCs w:val="20"/>
      <w:lang w:val="bg-BG" w:eastAsia="bg-BG"/>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1302E"/>
    <w:pPr>
      <w:ind w:left="720"/>
      <w:contextualSpacing/>
    </w:pPr>
  </w:style>
  <w:style w:type="paragraph" w:styleId="BodyTextIndent">
    <w:name w:val="Body Text Indent"/>
    <w:basedOn w:val="Normal"/>
    <w:link w:val="BodyTextIndentChar"/>
    <w:rsid w:val="0081302E"/>
    <w:pPr>
      <w:spacing w:after="0" w:line="240" w:lineRule="auto"/>
      <w:ind w:firstLine="720"/>
    </w:pPr>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FFE8-B0D6-477E-A6E1-8B343C56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Euroterra</dc:creator>
  <cp:lastModifiedBy>NB 05</cp:lastModifiedBy>
  <cp:revision>15</cp:revision>
  <dcterms:created xsi:type="dcterms:W3CDTF">2022-10-24T11:20:00Z</dcterms:created>
  <dcterms:modified xsi:type="dcterms:W3CDTF">2024-07-24T13:18:00Z</dcterms:modified>
  <dc:language>en-US</dc:language>
</cp:coreProperties>
</file>